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A.7</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A.8</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A.9</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표와 그림 번호는 본편과 구분하기 위해 S를 붙인다(표 S1, 그림 S1). 본편의 번호와 섞이지 않는다.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center"/>
      </w:pPr>
      <w:r>
        <w:rPr>
          <w:b/>
          <w:sz w:val="17"/>
        </w:rPr>
        <w:t>표 S1. CASPER 두 스케줄러를 본 연구 데이터에 적용한 결과</w:t>
      </w:r>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center"/>
      </w:pPr>
      <w:r>
        <w:rPr>
          <w:b/>
          <w:sz w:val="17"/>
        </w:rPr>
        <w:t>표 S2. CICS와 본 연구를 같은 축에서 비교한 결과</w:t>
      </w:r>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center"/>
      </w:pPr>
      <w:r>
        <w:rPr>
          <w:b/>
          <w:sz w:val="17"/>
        </w:rPr>
        <w:t>표 S3. Sukprasert 알고리즘을 본 연구 데이터에 적용한 결과</w:t>
      </w:r>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center"/>
      </w:pPr>
      <w:r>
        <w:rPr>
          <w:b/>
          <w:sz w:val="17"/>
        </w:rPr>
        <w:t>표 S4. Caspian 정식화를 본 연구 데이터에 대응시킨 내역</w:t>
      </w:r>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center"/>
      </w:pPr>
      <w:r>
        <w:rPr>
          <w:b/>
          <w:sz w:val="17"/>
        </w:rPr>
        <w:t>표 S5. 슬롯 올림이 만드는 점유 부풀림 — k=3 이하가 전체의 60.1%다</w:t>
      </w:r>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center"/>
      </w:pPr>
      <w:r>
        <w:rPr>
          <w:b/>
          <w:sz w:val="17"/>
        </w:rPr>
        <w:t>표 S6. 올림과 분수 점유의 비교 — 60일 부분집합, 24,000건, ω1=1</w:t>
      </w:r>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pStyle w:val="Heading2"/>
      </w:pPr>
      <w:r>
        <w:rPr>
          <w:rFonts w:ascii="맑은 고딕" w:hAnsi="맑은 고딕"/>
        </w:rPr>
        <w:t>본편 표 5에 실은 값</w:t>
      </w:r>
    </w:p>
    <w:p>
      <w:pPr>
        <w:jc w:val="both"/>
      </w:pPr>
      <w:r>
        <w:rPr>
          <w:i/>
          <w:sz w:val="20"/>
        </w:rPr>
        <w:t>【전체 스케일 실행 진행 중】</w:t>
      </w:r>
    </w:p>
    <w:p>
      <w:pPr>
        <w:pStyle w:val="Heading1"/>
      </w:pPr>
      <w:r>
        <w:rPr>
          <w:rFonts w:ascii="맑은 고딕" w:hAnsi="맑은 고딕"/>
        </w:rPr>
        <w:t>A.6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A.7  선행 연구의 평가 규모</w:t>
      </w:r>
    </w:p>
    <w:p>
      <w:pPr>
        <w:jc w:val="both"/>
      </w:pPr>
      <w:r>
        <w:rPr>
          <w:i w:val="0"/>
          <w:sz w:val="20"/>
        </w:rPr>
        <w:t>본 연구는 실제 클러스터 배포가 아닌 시뮬레이션 평가다. 비교 대상들의 평가 방식을 원문에서 확인한 결과는 다음과 같다.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center"/>
      </w:pPr>
      <w:r>
        <w:rPr>
          <w:b/>
          <w:sz w:val="17"/>
        </w:rPr>
        <w:t>표 S7. 선행 연구와 본 연구의 평가 방식·규모</w:t>
      </w:r>
    </w:p>
    <w:p>
      <w:pPr>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A.8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jc w:val="center"/>
      </w:pPr>
      <w:r>
        <w:rPr>
          <w:b/>
          <w:sz w:val="17"/>
        </w:rPr>
        <w:t>표 S8. 재현에 쓰이는 파일</w:t>
      </w:r>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5의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A.9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center"/>
      </w:pPr>
      <w:r>
        <w:rPr>
          <w:b/>
          <w:sz w:val="17"/>
        </w:rPr>
        <w:t>표 S9. 저장소에 포함된 입력 자료</w:t>
      </w:r>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A.9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우선순위를 순수 EDF 로 둔 까닭</w:t>
      </w:r>
    </w:p>
    <w:p>
      <w:pPr>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center"/>
      </w:pPr>
      <w:r>
        <w:rPr>
          <w:b/>
          <w:sz w:val="17"/>
        </w:rPr>
        <w:t>표 S10. 표 2의 세 단계를 두 회계로 다시 채점한 결과</w:t>
      </w:r>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bl>
    <w:p/>
    <w:p>
      <w:pPr>
        <w:jc w:val="center"/>
      </w:pPr>
      <w:r>
        <w:rPr>
          <w:b/>
          <w:sz w:val="17"/>
        </w:rPr>
        <w:t>표 S11. 표 5의 선행 정책을 두 회계로 다시 채점한 결과</w:t>
      </w:r>
    </w:p>
    <w:p>
      <w:pPr>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