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70EBF3A7" w14:textId="77777777" w:rsidR="00CA0C2E" w:rsidRDefault="00000000">
      <w:pPr>
        <w:autoSpaceDE w:val="0"/>
        <w:autoSpaceDN w:val="0"/>
        <w:ind w:firstLine="0"/>
        <w:jc w:val="center"/>
      </w:pPr>
      <w:r>
        <w:rPr>
          <w:sz w:val="18"/>
          <w:szCs w:val="18"/>
        </w:rPr>
        <w:t>* 교신저자 (Corresponding Author)</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 xml:space="preserve">본 연구는 CAST를 제안한다. CAST는 LSTM으로 예측한 탄소집약도 위에서 정수 계획법으로 리전을 정하고, 마감 시한 안에서 실행 시각을 옮기되 리전별 용량 상한을 매 슬롯 강제한다.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CICS[3] 역시 탄소 비용과 피크 전력 비용의 가중합을 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 UTC 이고 이 날(4월) 현지 시각은 7시간 이르다. 탄소가 낮아지는 구간, 곧 현지 한낮이 그대로 유효 상한에 닿아 옮기고 싶은 자리가 이미 차 있다.</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 xml:space="preserve">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w:t>
      </w:r>
      <w:r>
        <w:t>탄소집약도의 하루 앞 예측은 선행 연구가 따로 다룬 문제이며[13], 예측 모듈 자체는 본 연구의 기여가 아니므로 선행 예측 연구와의 벤치마크는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텍사스는 기상 입력을 실측으로 받는데도 오차가 가장 큰데, 시간당 변동폭이 8개 리전 가운데 가장 크기 때문이다. 이 정도 오차가 결과에 얼마나 반영되는지는 5절에서 완전예지 오라클과 비교한다. 이와 별개로,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 xml:space="preserve">손실은 고르지 않아 94.3%가 캘리포니아에서 나온다. 한편 시간 이동 자체가 만드는 이득도 같은 리전에 쏠린다 — 용량을 두지 않았을 때의 절감 2,651.6 kg 가운데 71.9%가 캘리포니아 몫이다. 탄소집약도가 종일 평탄한 리전에서는 실행 시각을 옮겨도 얻을 것이 없기 때문이다. 잃는 쪽과 얻는 쪽이 같은 리전이다. 용량을 무시한 이 반사실은 같은 정의로 세면 상한 위반이 20,208건이며, 뒤에서 보듯 용량을 인지하면 227건으로 89배 줄어든다.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배정하는 경로는 Algorithm 1의 15번 줄이 남은 자리 수만큼만 잘라내므로 정의상 위반을 낼 수 없고, 실측도 0건이다 — 구현이 알고리즘과 일치함을 보인다.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본 연구의 유효 상한 12건을 기준으로 다시 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 xml:space="preserve">CICS·CASPER·Sukprasert·Caspian의 정책을 원문의 수식과 공개 코드 그대로 본 연구의 데이터 위에 다시 구현하고, 동일한 회계(식 (15))로 채점하였다.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본 연구를 앞서는 네 방식은 모두 상한 위반이 20,208건 이상이며, 그 안에서는 절감률이 높을수록 위반도 많다. 가장 적은 것도 본 연구의 89배다.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CICS는 하루 전에 산정한 시간별 자원 곡선 하나로 다음 날 전체를 처리해 개별 작업의 마감을 보지 못하는 반면, 본 연구는 슬롯마다 남은 여유를 다시 계산한다. 두 축을 실제로 결합한 Caspian은 30.51%를 내지만 146,000건 가운데 17,054건이 마감을 넘긴다 — 2절에서 지적한 소프트 마감의 대가가 이 숫자다. 다만 원문의 평가는 24시간 200건 규모이고 본 연구의 작업은 60.1%가 10분 이내 마감이어서, 이 수치는 원문이 겨냥한 조건 밖에서 잰 값이다.</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583CC092" w14:textId="77777777">
        <w:tc>
          <w:tcPr>
            <w:tcW w:w="1660" w:type="dxa"/>
          </w:tcPr>
          <w:p w14:paraId="02231E99" w14:textId="77777777" w:rsidR="009C4F3C" w:rsidRDefault="00000000">
            <w:pPr>
              <w:autoSpaceDE w:val="0"/>
              <w:autoSpaceDN w:val="0"/>
            </w:pPr>
            <w:r>
              <w:rPr>
                <w:sz w:val="14"/>
              </w:rPr>
              <w:t>Caspian (분수)</w:t>
            </w:r>
          </w:p>
        </w:tc>
        <w:tc>
          <w:tcPr>
            <w:tcW w:w="960" w:type="dxa"/>
          </w:tcPr>
          <w:p w14:paraId="18597BBF" w14:textId="77777777" w:rsidR="009C4F3C" w:rsidRDefault="00000000">
            <w:pPr>
              <w:autoSpaceDE w:val="0"/>
              <w:autoSpaceDN w:val="0"/>
              <w:jc w:val="right"/>
            </w:pPr>
            <w:r>
              <w:rPr>
                <w:sz w:val="14"/>
              </w:rPr>
              <w:t>20,308.4</w:t>
            </w:r>
          </w:p>
        </w:tc>
        <w:tc>
          <w:tcPr>
            <w:tcW w:w="850" w:type="dxa"/>
          </w:tcPr>
          <w:p w14:paraId="3BED0FA7" w14:textId="77777777" w:rsidR="009C4F3C" w:rsidRDefault="00000000">
            <w:pPr>
              <w:autoSpaceDE w:val="0"/>
              <w:autoSpaceDN w:val="0"/>
              <w:jc w:val="right"/>
            </w:pPr>
            <w:r>
              <w:rPr>
                <w:sz w:val="14"/>
              </w:rPr>
              <w:t>30.51%</w:t>
            </w:r>
          </w:p>
        </w:tc>
        <w:tc>
          <w:tcPr>
            <w:tcW w:w="830" w:type="dxa"/>
          </w:tcPr>
          <w:p w14:paraId="107E4C2B" w14:textId="77777777" w:rsidR="009C4F3C" w:rsidRDefault="00000000">
            <w:pPr>
              <w:autoSpaceDE w:val="0"/>
              <w:autoSpaceDN w:val="0"/>
              <w:jc w:val="right"/>
            </w:pPr>
            <w:r>
              <w:rPr>
                <w:sz w:val="14"/>
              </w:rPr>
              <w:t>3,745</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정책들은 겹침 가중 정확 적분으로 다시 채점해도 절감률이 0.3%p 안에서 같다. 마감 위반은 Caspian만 17,054건(11.7%)이고 나머지와 본 연구는 모두 0이다 — Caspian은 마감을 목적함수의 페널티로 두기 때문이다.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있고, 왼쪽 바깥의 정책은 절감이 본 연구에 못 미친다.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 다만 이 배율은 워크로드에 매인다. 지연 등급 분포를 여섯 가지로 바꾸어 재보니 0.23배에서 6.14배까지 벌어졌고, 유연한 작업의 비중이 약 27% 아래로 내려가면 순서가 뒤집힌다. 본 연구의 워크로드는 39.9%로 그 경계보다 13%포인트 위에 있다.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 솔버의 동률 처리 비결정성으로 재실행 시 총배출이 최대 0.14% 달라지고, 도착률과 등급 분포는 실측 트레이스가 아니라 설정한 값이다. 분포를 다섯 가지로 바꾸어 다시 재보니 마감 위반은 전 구간에서 0으로 유지되었으며 완전예지 오라클로 돌려도 같았다. 반면 용량 위반은 유연 작업 비중에 초선형으로 늘어 20%에서 0건, 90%에서 28,828건이다.</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16" w:line="240" w:lineRule="auto"/>
        <w:ind w:left="320" w:hanging="320"/>
      </w:pPr>
      <w:r>
        <w:rPr>
          <w:sz w:val="15"/>
        </w:rPr>
        <w:t>[1] International Energy Agency, Energy and AI, World Energy Outlook Special Report, IEA, Paris, 2025.</w:t>
      </w:r>
    </w:p>
    <w:p>
      <w:pPr>
        <w:autoSpaceDE w:val="0"/>
        <w:autoSpaceDN w:val="0"/>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pPr>
        <w:autoSpaceDE w:val="0"/>
        <w:autoSpaceDN w:val="0"/>
        <w:spacing w:after="16" w:line="240" w:lineRule="auto"/>
        <w:ind w:left="320" w:hanging="320"/>
      </w:pPr>
      <w:r>
        <w:rPr>
          <w:sz w:val="15"/>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16" w:line="240" w:lineRule="auto"/>
        <w:ind w:left="320" w:hanging="320"/>
      </w:pPr>
      <w:r>
        <w:rPr>
          <w:sz w:val="15"/>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16" w:line="240" w:lineRule="auto"/>
        <w:ind w:left="320" w:hanging="320"/>
      </w:pPr>
      <w:r>
        <w:rPr>
          <w:sz w:val="15"/>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16" w:line="240" w:lineRule="auto"/>
        <w:ind w:left="320" w:hanging="320"/>
      </w:pPr>
      <w:r>
        <w:rPr>
          <w:sz w:val="15"/>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16" w:line="240" w:lineRule="auto"/>
        <w:ind w:left="320" w:hanging="320"/>
      </w:pPr>
      <w:r>
        <w:rPr>
          <w:sz w:val="15"/>
        </w:rPr>
        <w:t>[7] W. A. Hanafy, L. Wu, D. Irwin, and P. Shenoy, “CarbonFlex: Enabling Carbon-aware Provisioning and Scheduling for Cloud Clusters,” arXiv:2505.18357, 2025.</w:t>
      </w:r>
    </w:p>
    <w:p>
      <w:pPr>
        <w:autoSpaceDE w:val="0"/>
        <w:autoSpaceDN w:val="0"/>
        <w:spacing w:after="16" w:line="240" w:lineRule="auto"/>
        <w:ind w:left="320" w:hanging="320"/>
      </w:pPr>
      <w:r>
        <w:rPr>
          <w:sz w:val="15"/>
        </w:rPr>
        <w:t>[8] G. Attenni, Y. Moawad, N. Bartolini, and L. Thamsen, “Spatio-Temporal Shifting to Reduce Carbon, Water, and Land-Use Footprints of Cloud Workloads,” arXiv:2512.08725, 2025.</w:t>
      </w:r>
    </w:p>
    <w:p>
      <w:pPr>
        <w:autoSpaceDE w:val="0"/>
        <w:autoSpaceDN w:val="0"/>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16" w:line="240" w:lineRule="auto"/>
        <w:ind w:left="320" w:hanging="320"/>
      </w:pPr>
      <w:r>
        <w:rPr>
          <w:sz w:val="15"/>
        </w:rPr>
        <w:t>[10] Electricity Maps. (2026, Sep. 22). Data Portal [Online]. Available: https://www.electricitymaps.com/data-portal</w:t>
      </w:r>
    </w:p>
    <w:p>
      <w:pPr>
        <w:autoSpaceDE w:val="0"/>
        <w:autoSpaceDN w:val="0"/>
        <w:spacing w:after="16" w:line="240" w:lineRule="auto"/>
        <w:ind w:left="320" w:hanging="320"/>
      </w:pPr>
      <w:r>
        <w:rPr>
          <w:sz w:val="15"/>
        </w:rPr>
        <w:t>[11] Electricity Maps. (2026, Sep. 22). Methodology [Online]. Available: https://www.electricitymaps.com/data/methodology</w:t>
      </w:r>
    </w:p>
    <w:p>
      <w:pPr>
        <w:autoSpaceDE w:val="0"/>
        <w:autoSpaceDN w:val="0"/>
        <w:spacing w:after="16" w:line="240" w:lineRule="auto"/>
        <w:ind w:left="320" w:hanging="320"/>
      </w:pPr>
      <w:r>
        <w:rPr>
          <w:sz w:val="15"/>
        </w:rPr>
        <w:t>[12] Microsoft. (2026, Sep. 22). Azure Network Round-Trip Latency Statistics [Online]. Available: https://learn.microsoft.com/en-us/azure/networking/azure-network-latency</w:t>
      </w:r>
    </w:p>
    <w:p>
      <w:pPr>
        <w:autoSpaceDE w:val="0"/>
        <w:autoSpaceDN w:val="0"/>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16" w:line="240" w:lineRule="auto"/>
        <w:ind w:left="320" w:hanging="320"/>
      </w:pPr>
      <w:r>
        <w:rPr>
          <w:sz w:val="15"/>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