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1909" w:h="16834"/>
          <w:pgMar w:top="1440" w:right="1440" w:bottom="1440" w:left="1440" w:header="720" w:footer="720" w:gutter="0"/>
          <w:pgNumType w:start="1"/>
          <w:cols w:space="425"/>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pPr>
        <w:sectPr>
          <w:type w:val="continuous"/>
          <w:footerReference w:type="default" r:id="rId17"/>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5126400" cy="1967199"/>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26400" cy="1967199"/>
                    </a:xfrm>
                    <a:prstGeom prst="rect">
                      <a:avLst/>
                    </a:prstGeom>
                  </pic:spPr>
                </pic:pic>
              </a:graphicData>
            </a:graphic>
          </wp:inline>
        </w:drawing>
      </w:r>
    </w:p>
    <w:p w14:paraId="516646E3" w14:textId="77777777" w:rsidR="00180817" w:rsidRDefault="00000000" w:rsidP="00A2156A">
      <w:pPr>
        <w:keepNext/>
        <w:keepLines/>
        <w:spacing w:before="60" w:after="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keepLines/>
        <w:spacing w:before="0" w:after="240"/>
        <w:ind w:firstLine="0"/>
        <w:rPr>
          <w:sz w:val="18"/>
          <w:szCs w:val="18"/>
        </w:rPr>
        <w:sectPr>
          <w:type w:val="continuous"/>
          <w:footerReference w:type="default" r:id="rId17"/>
          <w:pgSz w:w="11909" w:h="16834"/>
          <w:pgMar w:top="1440" w:right="1440" w:bottom="1440" w:left="1440" w:header="720" w:footer="720" w:gutter="0"/>
          <w:pgNumType w:start="1"/>
          <w:cols w:space="425"/>
        </w:sectPr>
      </w:pPr>
      <w:r>
        <w:rPr>
          <w:sz w:val="17"/>
          <w:szCs w:val="17"/>
        </w:rPr>
        <w:t xml:space="preserve">Fig. 1 Overall pipeline of CAST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pPr>
        <w:sectPr>
          <w:type w:val="continuous"/>
          <w:footerReference w:type="default" r:id="rId17"/>
          <w:pgSz w:w="11909" w:h="16834"/>
          <w:pgMar w:top="1440" w:right="1440" w:bottom="1440" w:left="1440" w:header="720" w:footer="720" w:gutter="0"/>
          <w:pgNumType w:start="1"/>
          <w:cols w:num="2" w:space="425"/>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5126400" cy="1395669"/>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26400" cy="1395669"/>
                    </a:xfrm>
                    <a:prstGeom prst="rect">
                      <a:avLst/>
                    </a:prstGeom>
                  </pic:spPr>
                </pic:pic>
              </a:graphicData>
            </a:graphic>
          </wp:inline>
        </w:drawing>
      </w:r>
    </w:p>
    <w:p w14:paraId="42587444" w14:textId="77777777" w:rsidR="00960ED6" w:rsidRDefault="00000000" w:rsidP="00960ED6">
      <w:pPr>
        <w:keepNext/>
        <w:keepLines/>
        <w:spacing w:before="60" w:after="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pPr>
        <w:keepLines/>
        <w:spacing w:before="0" w:after="240"/>
        <w:ind w:firstLine="0"/>
        <w:rPr>
          <w:sz w:val="18"/>
        </w:rPr>
        <w:sectPr>
          <w:type w:val="continuous"/>
          <w:footerReference w:type="default" r:id="rId17"/>
          <w:pgSz w:w="11909" w:h="16834"/>
          <w:pgMar w:top="1440" w:right="1440" w:bottom="1440" w:left="1440" w:header="720" w:footer="720" w:gutter="0"/>
          <w:pgNumType w:start="1"/>
          <w:cols w:space="425"/>
        </w:sectPr>
      </w:pPr>
      <w:r>
        <w:rPr>
          <w:sz w:val="17"/>
        </w:rPr>
        <w:t xml:space="preserve">Fig. 2 Per-region LSTM architecture</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pPr>
        <w:keepLines/>
        <w:spacing w:before="0" w:after="240"/>
        <w:ind w:firstLine="0"/>
        <w:rPr>
          <w:sz w:val="18"/>
        </w:rPr>
      </w:pPr>
      <w:r>
        <w:rPr>
          <w:sz w:val="17"/>
        </w:rPr>
        <w:t xml:space="preserve">Fig. 3 Per-region carbon intensity forecast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pPr>
        <w:keepLines/>
        <w:spacing w:before="0" w:after="240"/>
        <w:ind w:firstLine="0"/>
        <w:rPr>
          <w:sz w:val="18"/>
          <w:szCs w:val="18"/>
        </w:rPr>
      </w:pPr>
      <w:r>
        <w:rPr>
          <w:sz w:val="17"/>
          <w:szCs w:val="17"/>
        </w:rPr>
        <w:t xml:space="preserve">Fig. 4 Trade-off axes of spatial shifting</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p>
      <w:pPr>
        <w:keepNext/>
        <w:keepLines/>
        <w:spacing w:before="0" w:after="60"/>
        <w:ind w:firstLine="0"/>
      </w:pPr>
      <w:r>
        <w:rPr>
          <w:sz w:val="17"/>
        </w:rPr>
        <w:t xml:space="preserve">Table 1 Assignment change by weight α</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 xml:space="preserve">Assigned region</w:t>
            </w:r>
          </w:p>
        </w:tc>
        <w:tc>
          <w:tcPr>
            <w:tcW w:w="880" w:type="dxa"/>
            <w:tcBorders>
              <w:bottom w:val="single" w:sz="6" w:space="0" w:color="000000"/>
            </w:tcBorders>
            <w:vAlign w:val="center"/>
          </w:tcPr>
          <w:p w14:paraId="3910BA68" w14:textId="77777777" w:rsidR="00354F08" w:rsidRDefault="00000000">
            <w:pPr>
              <w:keepNext/>
              <w:jc w:val="right"/>
            </w:pPr>
            <w:r>
              <w:rPr>
                <w:b/>
                <w:sz w:val="15"/>
              </w:rPr>
              <w:t xml:space="preserve">Carbon</w:t>
            </w:r>
          </w:p>
        </w:tc>
        <w:tc>
          <w:tcPr>
            <w:tcW w:w="860" w:type="dxa"/>
            <w:tcBorders>
              <w:bottom w:val="single" w:sz="6" w:space="0" w:color="000000"/>
            </w:tcBorders>
            <w:vAlign w:val="center"/>
          </w:tcPr>
          <w:p w14:paraId="51CC054A" w14:textId="77777777" w:rsidR="00354F08" w:rsidRDefault="00000000">
            <w:pPr>
              <w:keepNext/>
              <w:jc w:val="right"/>
            </w:pPr>
            <w:r>
              <w:rPr>
                <w:b/>
                <w:sz w:val="15"/>
              </w:rPr>
              <w:t xml:space="preserve">Latency</w:t>
            </w:r>
          </w:p>
        </w:tc>
      </w:tr>
      <w:tr w:rsidR="00354F08" w14:paraId="04A42858" w14:textId="77777777">
        <w:trPr>
          <w:cantSplit/>
        </w:trPr>
        <w:tc>
          <w:tcPr>
            <w:tcW w:w="1080" w:type="dxa"/>
            <w:vAlign w:val="center"/>
          </w:tcPr>
          <w:p w14:paraId="184F7A5C" w14:textId="77777777" w:rsidR="00354F08" w:rsidRDefault="00000000">
            <w:pPr>
              <w:keepNext/>
            </w:pPr>
            <w:r>
              <w:rPr>
                <w:sz w:val="15"/>
              </w:rPr>
              <w:t xml:space="preserve">0.0–0.4</w:t>
            </w:r>
          </w:p>
        </w:tc>
        <w:tc>
          <w:tcPr>
            <w:tcW w:w="1480" w:type="dxa"/>
            <w:vAlign w:val="center"/>
          </w:tcPr>
          <w:p w14:paraId="3C15D5A4" w14:textId="77777777" w:rsidR="00354F08" w:rsidRDefault="00000000">
            <w:pPr>
              <w:keepNext/>
            </w:pPr>
            <w:r>
              <w:rPr>
                <w:sz w:val="15"/>
              </w:rPr>
              <w:t xml:space="preserve">Korea (origin)</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 xml:space="preserve">0.5–0.9</w:t>
            </w:r>
          </w:p>
        </w:tc>
        <w:tc>
          <w:tcPr>
            <w:tcW w:w="1480" w:type="dxa"/>
            <w:vAlign w:val="center"/>
          </w:tcPr>
          <w:p w14:paraId="7BC4ED83" w14:textId="77777777" w:rsidR="00354F08" w:rsidRDefault="00000000">
            <w:pPr>
              <w:keepNext/>
            </w:pPr>
            <w:r>
              <w:rPr>
                <w:sz w:val="15"/>
              </w:rPr>
              <w:t xml:space="preserve">California</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 xml:space="preserve">France</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pPr>
        <w:keepLines/>
        <w:spacing w:before="0" w:after="240"/>
        <w:ind w:firstLine="0"/>
        <w:rPr>
          <w:color w:val="EE0000"/>
          <w:sz w:val="18"/>
          <w:szCs w:val="18"/>
        </w:rPr>
      </w:pPr>
      <w:r>
        <w:rPr>
          <w:sz w:val="17"/>
        </w:rPr>
        <w:t xml:space="preserve">Fig. 5 Inter-region flow created by spatial shifting</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pPr>
        <w:keepLines/>
        <w:spacing w:before="0" w:after="240"/>
        <w:ind w:firstLine="0"/>
        <w:rPr>
          <w:sz w:val="18"/>
          <w:szCs w:val="18"/>
        </w:rPr>
      </w:pPr>
      <w:r>
        <w:rPr>
          <w:sz w:val="17"/>
          <w:szCs w:val="17"/>
        </w:rPr>
        <w:t xml:space="preserve">Fig. 6 Pareto curve of the fixed-α sweep and per-slot knee points</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pPr>
        <w:keepLines/>
        <w:spacing w:before="0" w:after="240"/>
        <w:ind w:firstLine="0"/>
        <w:rPr>
          <w:sz w:val="18"/>
          <w:szCs w:val="18"/>
        </w:rPr>
      </w:pPr>
      <w:r>
        <w:rPr>
          <w:sz w:val="17"/>
          <w:szCs w:val="17"/>
        </w:rPr>
        <w:t xml:space="preserve">Fig. 7 How capacity blocks temporal shifting</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p>
      <w:pPr>
        <w:keepNext/>
        <w:keepLines/>
        <w:spacing w:before="0" w:after="60"/>
        <w:jc w:val="left"/>
      </w:pPr>
      <w:r>
        <w:rPr>
          <w:sz w:val="17"/>
          <w:szCs w:val="17"/>
        </w:rPr>
        <w:t xml:space="preserve">Table 2 Latency tiers and weights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 xml:space="preserve">Tier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 xml:space="preserve">Latency budget</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 xml:space="preserve">Jobs</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 xml:space="preserve">12–24 h</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 xml:space="preserve">2–8 h</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 xml:space="preserve">2–10 min</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 xml:space="preserve">15–60 s</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 xml:space="preserve">1–5 s</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p>
      <w:pPr>
        <w:keepNext/>
        <w:keepLines/>
        <w:spacing w:before="0" w:after="60"/>
        <w:jc w:val="left"/>
      </w:pPr>
      <w:r>
        <w:rPr>
          <w:sz w:val="17"/>
          <w:szCs w:val="17"/>
        </w:rPr>
        <w:t xml:space="preserve">Table 3 Total emissions and ceiling violations across the five methods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 xml:space="preserve">Method</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 xml:space="preserve">Total emissions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 xml:space="preserve">vs. baseline</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 xml:space="preserve">Ceiling violations</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 xml:space="preserve">Baseline</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 xml:space="preserve">Temporal-only</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 xml:space="preserve">Spatial-only</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 xml:space="preserve">Capacity ignored</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pPr>
        <w:keepLines/>
        <w:spacing w:before="0" w:after="240"/>
        <w:ind w:firstLine="0"/>
        <w:rPr>
          <w:sz w:val="18"/>
          <w:szCs w:val="18"/>
        </w:rPr>
      </w:pPr>
      <w:r>
        <w:rPr>
          <w:sz w:val="17"/>
          <w:szCs w:val="17"/>
        </w:rPr>
        <w:t xml:space="preserve">Fig. 8 Total emissions across the five methods (Table 3)</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pPr>
        <w:keepLines/>
        <w:spacing w:before="0" w:after="240"/>
        <w:ind w:firstLine="0"/>
        <w:rPr>
          <w:sz w:val="18"/>
          <w:szCs w:val="18"/>
        </w:rPr>
      </w:pPr>
      <w:r>
        <w:rPr>
          <w:sz w:val="17"/>
          <w:szCs w:val="17"/>
        </w:rPr>
        <w:t xml:space="preserve">Fig. 9 California concurrent executions before and after temporal shifting</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pPr>
        <w:keepLines/>
        <w:spacing w:before="0" w:after="240"/>
        <w:ind w:firstLine="0"/>
        <w:rPr>
          <w:sz w:val="18"/>
        </w:rPr>
      </w:pPr>
      <w:r>
        <w:rPr>
          <w:sz w:val="17"/>
        </w:rPr>
        <w:t xml:space="preserve">Fig. 10 Comparison of reproduced prior policies (Table 4)</w:t>
      </w:r>
    </w:p>
    <w:p w14:paraId="412A6B48" w14:textId="77777777" w:rsidR="00CA0C2E" w:rsidRDefault="00000000" w:rsidP="00724B75">
      <w:pPr>
        <w:keepNext/>
        <w:keepLines/>
        <w:spacing w:before="240" w:after="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p>
      <w:pPr>
        <w:keepNext/>
        <w:keepLines/>
        <w:spacing w:before="0" w:after="60"/>
        <w:ind w:firstLine="0"/>
        <w:rPr>
          <w:sz w:val="15"/>
        </w:rPr>
      </w:pPr>
      <w:r>
        <w:rPr>
          <w:sz w:val="17"/>
        </w:rPr>
        <w:t xml:space="preserve">Table 4 Prior policies reproduced and scored under the same accounting</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keepNext/>
              <w:ind w:firstLine="0"/>
            </w:pPr>
            <w:r>
              <w:rPr>
                <w:b/>
                <w:sz w:val="14"/>
              </w:rPr>
              <w:t xml:space="preserve">Policy</w:t>
            </w:r>
          </w:p>
        </w:tc>
        <w:tc>
          <w:tcPr>
            <w:tcW w:w="820" w:type="dxa"/>
            <w:tcBorders>
              <w:bottom w:val="single" w:sz="6" w:space="0" w:color="000000"/>
            </w:tcBorders>
            <w:vAlign w:val="center"/>
          </w:tcPr>
          <w:p w14:paraId="450EC4E5" w14:textId="77777777" w:rsidR="009C4F3C" w:rsidRDefault="00000000">
            <w:pPr>
              <w:keepNext/>
              <w:jc w:val="right"/>
              <w:ind w:firstLine="0"/>
            </w:pPr>
            <w:r>
              <w:rPr>
                <w:b/>
                <w:sz w:val="14"/>
              </w:rPr>
              <w:t xml:space="preserve">Total emissions</w:t>
            </w:r>
          </w:p>
        </w:tc>
        <w:tc>
          <w:tcPr>
            <w:tcW w:w="780" w:type="dxa"/>
            <w:tcBorders>
              <w:bottom w:val="single" w:sz="6" w:space="0" w:color="000000"/>
            </w:tcBorders>
            <w:vAlign w:val="center"/>
          </w:tcPr>
          <w:p w14:paraId="62A46446" w14:textId="77777777" w:rsidR="009C4F3C" w:rsidRDefault="00000000">
            <w:pPr>
              <w:keepNext/>
              <w:jc w:val="right"/>
              <w:ind w:firstLine="0"/>
            </w:pPr>
            <w:r>
              <w:rPr>
                <w:b/>
                <w:sz w:val="14"/>
              </w:rPr>
              <w:t xml:space="preserve">Carbon savings</w:t>
            </w:r>
          </w:p>
        </w:tc>
        <w:tc>
          <w:tcPr>
            <w:tcW w:w="750" w:type="dxa"/>
            <w:tcBorders>
              <w:bottom w:val="single" w:sz="6" w:space="0" w:color="000000"/>
            </w:tcBorders>
            <w:vAlign w:val="center"/>
          </w:tcPr>
          <w:p w14:paraId="57A7BE86" w14:textId="77777777" w:rsidR="009C4F3C" w:rsidRDefault="00000000">
            <w:pPr>
              <w:keepNext/>
              <w:jc w:val="right"/>
              <w:ind w:firstLine="0"/>
            </w:pPr>
            <w:r>
              <w:rPr>
                <w:b/>
                <w:sz w:val="14"/>
              </w:rPr>
              <w:t xml:space="preserve">Ceiling violations</w:t>
            </w:r>
          </w:p>
        </w:tc>
      </w:tr>
      <w:tr w:rsidR="009C4F3C" w14:paraId="7D08B9AD" w14:textId="77777777">
        <w:trPr>
          <w:cantSplit/>
        </w:trPr>
        <w:tc>
          <w:tcPr>
            <w:tcW w:w="1950" w:type="dxa"/>
            <w:vAlign w:val="center"/>
          </w:tcPr>
          <w:p w14:paraId="481744F3" w14:textId="77777777" w:rsidR="009C4F3C" w:rsidRDefault="00000000">
            <w:pPr>
              <w:keepNext/>
              <w:ind w:firstLine="0"/>
            </w:pPr>
            <w:r>
              <w:rPr>
                <w:sz w:val="14"/>
              </w:rPr>
              <w:t xml:space="preserve">Baseline</w:t>
            </w:r>
          </w:p>
        </w:tc>
        <w:tc>
          <w:tcPr>
            <w:tcW w:w="820" w:type="dxa"/>
            <w:vAlign w:val="center"/>
          </w:tcPr>
          <w:p w14:paraId="3FBD000F" w14:textId="77777777" w:rsidR="009C4F3C" w:rsidRDefault="00000000">
            <w:pPr>
              <w:keepNext/>
              <w:jc w:val="right"/>
              <w:ind w:firstLine="0"/>
            </w:pPr>
            <w:r>
              <w:rPr>
                <w:sz w:val="14"/>
              </w:rPr>
              <w:t>29,225.6</w:t>
            </w:r>
          </w:p>
        </w:tc>
        <w:tc>
          <w:tcPr>
            <w:tcW w:w="780" w:type="dxa"/>
            <w:vAlign w:val="center"/>
          </w:tcPr>
          <w:p w14:paraId="50B81ADC" w14:textId="77777777" w:rsidR="009C4F3C" w:rsidRDefault="00000000">
            <w:pPr>
              <w:keepNext/>
              <w:jc w:val="right"/>
              <w:ind w:firstLine="0"/>
            </w:pPr>
            <w:r>
              <w:rPr>
                <w:sz w:val="14"/>
              </w:rPr>
              <w:t>—</w:t>
            </w:r>
          </w:p>
        </w:tc>
        <w:tc>
          <w:tcPr>
            <w:tcW w:w="750" w:type="dxa"/>
            <w:vAlign w:val="center"/>
          </w:tcPr>
          <w:p w14:paraId="41EB5AD7" w14:textId="77777777" w:rsidR="009C4F3C" w:rsidRDefault="00000000">
            <w:pPr>
              <w:keepNext/>
              <w:jc w:val="right"/>
              <w:ind w:firstLine="0"/>
            </w:pPr>
            <w:r>
              <w:rPr>
                <w:sz w:val="14"/>
              </w:rPr>
              <w:t>1</w:t>
            </w:r>
          </w:p>
        </w:tc>
      </w:tr>
      <w:tr w:rsidR="009C4F3C" w14:paraId="736D9610" w14:textId="77777777">
        <w:trPr>
          <w:cantSplit/>
        </w:trPr>
        <w:tc>
          <w:tcPr>
            <w:tcW w:w="1950" w:type="dxa"/>
            <w:vAlign w:val="center"/>
          </w:tcPr>
          <w:p w14:paraId="52C81E4D" w14:textId="77777777" w:rsidR="009C4F3C" w:rsidRDefault="00000000">
            <w:pPr>
              <w:keepNext/>
              <w:ind w:firstLine="0"/>
            </w:pPr>
            <w:r>
              <w:rPr>
                <w:sz w:val="14"/>
              </w:rPr>
              <w:t xml:space="preserve">CICS Virtual Capacity Curve</w:t>
            </w:r>
          </w:p>
        </w:tc>
        <w:tc>
          <w:tcPr>
            <w:tcW w:w="820" w:type="dxa"/>
            <w:vAlign w:val="center"/>
          </w:tcPr>
          <w:p w14:paraId="623F64EF" w14:textId="77777777" w:rsidR="009C4F3C" w:rsidRDefault="00000000">
            <w:pPr>
              <w:keepNext/>
              <w:jc w:val="right"/>
              <w:ind w:firstLine="0"/>
            </w:pPr>
            <w:r>
              <w:rPr>
                <w:sz w:val="14"/>
              </w:rPr>
              <w:t>25,203.4</w:t>
            </w:r>
          </w:p>
        </w:tc>
        <w:tc>
          <w:tcPr>
            <w:tcW w:w="780" w:type="dxa"/>
            <w:vAlign w:val="center"/>
          </w:tcPr>
          <w:p w14:paraId="3510136B" w14:textId="77777777" w:rsidR="009C4F3C" w:rsidRDefault="00000000">
            <w:pPr>
              <w:keepNext/>
              <w:jc w:val="right"/>
              <w:ind w:firstLine="0"/>
            </w:pPr>
            <w:r>
              <w:rPr>
                <w:sz w:val="14"/>
              </w:rPr>
              <w:t>13.76%</w:t>
            </w:r>
          </w:p>
        </w:tc>
        <w:tc>
          <w:tcPr>
            <w:tcW w:w="750" w:type="dxa"/>
            <w:vAlign w:val="center"/>
          </w:tcPr>
          <w:p w14:paraId="44C5CD9B" w14:textId="77777777" w:rsidR="009C4F3C" w:rsidRDefault="00000000">
            <w:pPr>
              <w:keepNext/>
              <w:jc w:val="right"/>
              <w:ind w:firstLine="0"/>
            </w:pPr>
            <w:r>
              <w:rPr>
                <w:sz w:val="14"/>
              </w:rPr>
              <w:t>0</w:t>
            </w:r>
          </w:p>
        </w:tc>
      </w:tr>
      <w:tr w:rsidR="009C4F3C" w14:paraId="6E18F340" w14:textId="77777777">
        <w:trPr>
          <w:cantSplit/>
        </w:trPr>
        <w:tc>
          <w:tcPr>
            <w:tcW w:w="1950" w:type="dxa"/>
            <w:vAlign w:val="center"/>
          </w:tcPr>
          <w:p w14:paraId="4E22CD16" w14:textId="77777777" w:rsidR="009C4F3C" w:rsidRDefault="00000000">
            <w:pPr>
              <w:keepNext/>
              <w:ind w:firstLine="0"/>
            </w:pPr>
            <w:r>
              <w:rPr>
                <w:sz w:val="14"/>
              </w:rPr>
              <w:t xml:space="preserve">Caspian (fractional)</w:t>
            </w:r>
          </w:p>
        </w:tc>
        <w:tc>
          <w:tcPr>
            <w:tcW w:w="820" w:type="dxa"/>
            <w:vAlign w:val="center"/>
          </w:tcPr>
          <w:p w14:paraId="2822A6C6" w14:textId="77777777" w:rsidR="009C4F3C" w:rsidRDefault="00000000">
            <w:pPr>
              <w:keepNext/>
              <w:jc w:val="right"/>
              <w:ind w:firstLine="0"/>
            </w:pPr>
            <w:r>
              <w:rPr>
                <w:sz w:val="14"/>
              </w:rPr>
              <w:t>20,308.4</w:t>
            </w:r>
          </w:p>
        </w:tc>
        <w:tc>
          <w:tcPr>
            <w:tcW w:w="780" w:type="dxa"/>
            <w:vAlign w:val="center"/>
          </w:tcPr>
          <w:p w14:paraId="5464D557" w14:textId="77777777" w:rsidR="009C4F3C" w:rsidRDefault="00000000">
            <w:pPr>
              <w:keepNext/>
              <w:jc w:val="right"/>
              <w:ind w:firstLine="0"/>
            </w:pPr>
            <w:r>
              <w:rPr>
                <w:sz w:val="14"/>
              </w:rPr>
              <w:t>30.51%</w:t>
            </w:r>
          </w:p>
        </w:tc>
        <w:tc>
          <w:tcPr>
            <w:tcW w:w="750" w:type="dxa"/>
            <w:vAlign w:val="center"/>
          </w:tcPr>
          <w:p w14:paraId="3B595B86" w14:textId="77777777" w:rsidR="009C4F3C" w:rsidRDefault="00000000">
            <w:pPr>
              <w:keepNext/>
              <w:jc w:val="right"/>
              <w:ind w:firstLine="0"/>
            </w:pPr>
            <w:r>
              <w:rPr>
                <w:sz w:val="14"/>
              </w:rPr>
              <w:t>3,745</w:t>
            </w:r>
          </w:p>
        </w:tc>
      </w:tr>
      <w:tr w:rsidR="009C4F3C" w14:paraId="7EA4D73A" w14:textId="77777777">
        <w:trPr>
          <w:cantSplit/>
        </w:trPr>
        <w:tc>
          <w:tcPr>
            <w:tcW w:w="1950" w:type="dxa"/>
            <w:vAlign w:val="center"/>
          </w:tcPr>
          <w:p w14:paraId="4E38DAB5" w14:textId="77777777" w:rsidR="009C4F3C" w:rsidRDefault="00000000">
            <w:pPr>
              <w:keepNext/>
              <w:ind w:firstLine="0"/>
            </w:pPr>
            <w:r>
              <w:rPr>
                <w:sz w:val="14"/>
              </w:rPr>
              <w:t xml:space="preserve">Sukprasert temporal</w:t>
            </w:r>
          </w:p>
        </w:tc>
        <w:tc>
          <w:tcPr>
            <w:tcW w:w="820" w:type="dxa"/>
            <w:vAlign w:val="center"/>
          </w:tcPr>
          <w:p w14:paraId="762B205A" w14:textId="77777777" w:rsidR="009C4F3C" w:rsidRDefault="00000000">
            <w:pPr>
              <w:keepNext/>
              <w:jc w:val="right"/>
              <w:ind w:firstLine="0"/>
            </w:pPr>
            <w:r>
              <w:rPr>
                <w:sz w:val="14"/>
              </w:rPr>
              <w:t>9,583.6</w:t>
            </w:r>
          </w:p>
        </w:tc>
        <w:tc>
          <w:tcPr>
            <w:tcW w:w="780" w:type="dxa"/>
            <w:vAlign w:val="center"/>
          </w:tcPr>
          <w:p w14:paraId="6F850B49" w14:textId="77777777" w:rsidR="009C4F3C" w:rsidRDefault="00000000">
            <w:pPr>
              <w:keepNext/>
              <w:jc w:val="right"/>
              <w:ind w:firstLine="0"/>
            </w:pPr>
            <w:r>
              <w:rPr>
                <w:sz w:val="14"/>
              </w:rPr>
              <w:t>67.21%</w:t>
            </w:r>
          </w:p>
        </w:tc>
        <w:tc>
          <w:tcPr>
            <w:tcW w:w="750" w:type="dxa"/>
            <w:vAlign w:val="center"/>
          </w:tcPr>
          <w:p w14:paraId="5E0EF39E" w14:textId="77777777" w:rsidR="009C4F3C" w:rsidRDefault="00000000">
            <w:pPr>
              <w:keepNext/>
              <w:jc w:val="right"/>
              <w:ind w:firstLine="0"/>
            </w:pPr>
            <w:r>
              <w:rPr>
                <w:sz w:val="14"/>
              </w:rPr>
              <w:t>49,356</w:t>
            </w:r>
          </w:p>
        </w:tc>
      </w:tr>
      <w:tr w:rsidR="009C4F3C" w14:paraId="4461ACBB" w14:textId="77777777">
        <w:trPr>
          <w:cantSplit/>
        </w:trPr>
        <w:tc>
          <w:tcPr>
            <w:tcW w:w="1950" w:type="dxa"/>
            <w:vAlign w:val="center"/>
          </w:tcPr>
          <w:p w14:paraId="14E1BC51" w14:textId="77777777" w:rsidR="009C4F3C" w:rsidRDefault="00000000">
            <w:pPr>
              <w:keepNext/>
              <w:ind w:firstLine="0"/>
            </w:pPr>
            <w:r>
              <w:rPr>
                <w:sz w:val="14"/>
              </w:rPr>
              <w:t>CASPER CAP</w:t>
            </w:r>
          </w:p>
        </w:tc>
        <w:tc>
          <w:tcPr>
            <w:tcW w:w="820" w:type="dxa"/>
            <w:vAlign w:val="center"/>
          </w:tcPr>
          <w:p w14:paraId="330226CD" w14:textId="77777777" w:rsidR="009C4F3C" w:rsidRDefault="00000000">
            <w:pPr>
              <w:keepNext/>
              <w:jc w:val="right"/>
              <w:ind w:firstLine="0"/>
            </w:pPr>
            <w:r>
              <w:rPr>
                <w:sz w:val="14"/>
              </w:rPr>
              <w:t>1,379.1</w:t>
            </w:r>
          </w:p>
        </w:tc>
        <w:tc>
          <w:tcPr>
            <w:tcW w:w="780" w:type="dxa"/>
            <w:vAlign w:val="center"/>
          </w:tcPr>
          <w:p w14:paraId="749742DD" w14:textId="77777777" w:rsidR="009C4F3C" w:rsidRDefault="00000000">
            <w:pPr>
              <w:keepNext/>
              <w:jc w:val="right"/>
              <w:ind w:firstLine="0"/>
            </w:pPr>
            <w:r>
              <w:rPr>
                <w:sz w:val="14"/>
              </w:rPr>
              <w:t>95.28%</w:t>
            </w:r>
          </w:p>
        </w:tc>
        <w:tc>
          <w:tcPr>
            <w:tcW w:w="750" w:type="dxa"/>
            <w:vAlign w:val="center"/>
          </w:tcPr>
          <w:p w14:paraId="69ED018F" w14:textId="77777777" w:rsidR="009C4F3C" w:rsidRDefault="00000000">
            <w:pPr>
              <w:keepNext/>
              <w:jc w:val="right"/>
              <w:ind w:firstLine="0"/>
            </w:pPr>
            <w:r>
              <w:rPr>
                <w:sz w:val="14"/>
              </w:rPr>
              <w:t>69,310</w:t>
            </w:r>
          </w:p>
        </w:tc>
      </w:tr>
      <w:tr w:rsidR="009C4F3C" w14:paraId="14AFF9FD" w14:textId="77777777">
        <w:trPr>
          <w:cantSplit/>
        </w:trPr>
        <w:tc>
          <w:tcPr>
            <w:tcW w:w="1950" w:type="dxa"/>
            <w:vAlign w:val="center"/>
          </w:tcPr>
          <w:p w14:paraId="722C5D58" w14:textId="77777777" w:rsidR="009C4F3C" w:rsidRDefault="00000000">
            <w:pPr>
              <w:keepNext/>
              <w:ind w:firstLine="0"/>
            </w:pPr>
            <w:r>
              <w:rPr>
                <w:sz w:val="14"/>
              </w:rPr>
              <w:t xml:space="preserve">Sukprasert spatial+temporal</w:t>
            </w:r>
          </w:p>
        </w:tc>
        <w:tc>
          <w:tcPr>
            <w:tcW w:w="820" w:type="dxa"/>
            <w:vAlign w:val="center"/>
          </w:tcPr>
          <w:p w14:paraId="2B05E9E3" w14:textId="77777777" w:rsidR="009C4F3C" w:rsidRDefault="00000000">
            <w:pPr>
              <w:keepNext/>
              <w:jc w:val="right"/>
              <w:ind w:firstLine="0"/>
            </w:pPr>
            <w:r>
              <w:rPr>
                <w:sz w:val="14"/>
              </w:rPr>
              <w:t>990.8</w:t>
            </w:r>
          </w:p>
        </w:tc>
        <w:tc>
          <w:tcPr>
            <w:tcW w:w="780" w:type="dxa"/>
            <w:vAlign w:val="center"/>
          </w:tcPr>
          <w:p w14:paraId="1CEA791E" w14:textId="77777777" w:rsidR="009C4F3C" w:rsidRDefault="00000000">
            <w:pPr>
              <w:keepNext/>
              <w:jc w:val="right"/>
              <w:ind w:firstLine="0"/>
            </w:pPr>
            <w:r>
              <w:rPr>
                <w:sz w:val="14"/>
              </w:rPr>
              <w:t>96.61%</w:t>
            </w:r>
          </w:p>
        </w:tc>
        <w:tc>
          <w:tcPr>
            <w:tcW w:w="750" w:type="dxa"/>
            <w:vAlign w:val="center"/>
          </w:tcPr>
          <w:p w14:paraId="6A352A98" w14:textId="77777777" w:rsidR="009C4F3C" w:rsidRDefault="00000000">
            <w:pPr>
              <w:keepNext/>
              <w:jc w:val="right"/>
              <w:ind w:firstLine="0"/>
            </w:pPr>
            <w:r>
              <w:rPr>
                <w:sz w:val="14"/>
              </w:rPr>
              <w:t>120,186</w:t>
            </w:r>
          </w:p>
        </w:tc>
      </w:tr>
      <w:tr w:rsidR="009C4F3C" w14:paraId="5C63E714" w14:textId="77777777">
        <w:trPr>
          <w:cantSplit/>
        </w:trPr>
        <w:tc>
          <w:tcPr>
            <w:tcW w:w="1950" w:type="dxa"/>
            <w:vAlign w:val="center"/>
          </w:tcPr>
          <w:p w14:paraId="3E16208C" w14:textId="77777777" w:rsidR="009C4F3C" w:rsidRDefault="00000000">
            <w:pPr>
              <w:keepNext/>
              <w:ind w:firstLine="0"/>
            </w:pPr>
            <w:r>
              <w:rPr>
                <w:sz w:val="14"/>
              </w:rPr>
              <w:t xml:space="preserve">Temporal-only</w:t>
            </w:r>
          </w:p>
        </w:tc>
        <w:tc>
          <w:tcPr>
            <w:tcW w:w="820" w:type="dxa"/>
            <w:vAlign w:val="center"/>
          </w:tcPr>
          <w:p w14:paraId="71EB7931" w14:textId="77777777" w:rsidR="009C4F3C" w:rsidRDefault="00000000">
            <w:pPr>
              <w:keepNext/>
              <w:jc w:val="right"/>
              <w:ind w:firstLine="0"/>
            </w:pPr>
            <w:r>
              <w:rPr>
                <w:sz w:val="14"/>
              </w:rPr>
              <w:t>23,789.1</w:t>
            </w:r>
          </w:p>
        </w:tc>
        <w:tc>
          <w:tcPr>
            <w:tcW w:w="780" w:type="dxa"/>
            <w:vAlign w:val="center"/>
          </w:tcPr>
          <w:p w14:paraId="719540F0" w14:textId="77777777" w:rsidR="009C4F3C" w:rsidRDefault="00000000">
            <w:pPr>
              <w:keepNext/>
              <w:jc w:val="right"/>
              <w:ind w:firstLine="0"/>
            </w:pPr>
            <w:r>
              <w:rPr>
                <w:sz w:val="14"/>
              </w:rPr>
              <w:t>18.60%</w:t>
            </w:r>
          </w:p>
        </w:tc>
        <w:tc>
          <w:tcPr>
            <w:tcW w:w="750" w:type="dxa"/>
            <w:vAlign w:val="center"/>
          </w:tcPr>
          <w:p w14:paraId="05E92603" w14:textId="77777777" w:rsidR="009C4F3C" w:rsidRDefault="00000000">
            <w:pPr>
              <w:keepNext/>
              <w:jc w:val="right"/>
              <w:ind w:firstLine="0"/>
            </w:pPr>
            <w:r>
              <w:rPr>
                <w:sz w:val="14"/>
              </w:rPr>
              <w:t>24</w:t>
            </w:r>
          </w:p>
        </w:tc>
      </w:tr>
      <w:tr w:rsidR="009C4F3C" w14:paraId="5F7019D8" w14:textId="77777777">
        <w:trPr>
          <w:cantSplit/>
        </w:trPr>
        <w:tc>
          <w:tcPr>
            <w:tcW w:w="1950" w:type="dxa"/>
            <w:vAlign w:val="center"/>
          </w:tcPr>
          <w:p w14:paraId="7FA4C79F" w14:textId="77777777" w:rsidR="009C4F3C" w:rsidRDefault="00000000">
            <w:pPr>
              <w:keepNext/>
              <w:ind w:firstLine="0"/>
            </w:pPr>
            <w:r>
              <w:rPr>
                <w:sz w:val="14"/>
              </w:rPr>
              <w:t xml:space="preserve">Spatial-only</w:t>
            </w:r>
          </w:p>
        </w:tc>
        <w:tc>
          <w:tcPr>
            <w:tcW w:w="820" w:type="dxa"/>
            <w:vAlign w:val="center"/>
          </w:tcPr>
          <w:p w14:paraId="6F8B2B66" w14:textId="77777777" w:rsidR="009C4F3C" w:rsidRDefault="00000000">
            <w:pPr>
              <w:keepNext/>
              <w:jc w:val="right"/>
              <w:ind w:firstLine="0"/>
            </w:pPr>
            <w:r>
              <w:rPr>
                <w:sz w:val="14"/>
              </w:rPr>
              <w:t>12,609.8</w:t>
            </w:r>
          </w:p>
        </w:tc>
        <w:tc>
          <w:tcPr>
            <w:tcW w:w="780" w:type="dxa"/>
            <w:vAlign w:val="center"/>
          </w:tcPr>
          <w:p w14:paraId="490CE602" w14:textId="77777777" w:rsidR="009C4F3C" w:rsidRDefault="00000000">
            <w:pPr>
              <w:keepNext/>
              <w:jc w:val="right"/>
              <w:ind w:firstLine="0"/>
            </w:pPr>
            <w:r>
              <w:rPr>
                <w:sz w:val="14"/>
              </w:rPr>
              <w:t>56.85%</w:t>
            </w:r>
          </w:p>
        </w:tc>
        <w:tc>
          <w:tcPr>
            <w:tcW w:w="750" w:type="dxa"/>
            <w:vAlign w:val="center"/>
          </w:tcPr>
          <w:p w14:paraId="0EE0C19B" w14:textId="77777777" w:rsidR="009C4F3C" w:rsidRDefault="00000000">
            <w:pPr>
              <w:keepNext/>
              <w:jc w:val="right"/>
              <w:ind w:firstLine="0"/>
            </w:pPr>
            <w:r>
              <w:rPr>
                <w:sz w:val="14"/>
              </w:rPr>
              <w:t>0</w:t>
            </w:r>
          </w:p>
        </w:tc>
      </w:tr>
      <w:tr w:rsidR="009C4F3C" w14:paraId="35EA1548" w14:textId="77777777">
        <w:trPr>
          <w:cantSplit/>
        </w:trPr>
        <w:tc>
          <w:tcPr>
            <w:tcW w:w="1950" w:type="dxa"/>
            <w:vAlign w:val="center"/>
          </w:tcPr>
          <w:p w14:paraId="6A9C58B2" w14:textId="77777777" w:rsidR="009C4F3C" w:rsidRDefault="00000000">
            <w:pPr>
              <w:keepNext/>
              <w:ind w:firstLine="0"/>
            </w:pPr>
            <w:r>
              <w:rPr>
                <w:b/>
                <w:sz w:val="14"/>
              </w:rPr>
              <w:t>CAST (ours)</w:t>
            </w:r>
          </w:p>
        </w:tc>
        <w:tc>
          <w:tcPr>
            <w:tcW w:w="820" w:type="dxa"/>
            <w:vAlign w:val="center"/>
          </w:tcPr>
          <w:p w14:paraId="0B038DB8" w14:textId="77777777" w:rsidR="009C4F3C" w:rsidRDefault="00000000">
            <w:pPr>
              <w:keepNext/>
              <w:jc w:val="right"/>
              <w:ind w:firstLine="0"/>
            </w:pPr>
            <w:r>
              <w:rPr>
                <w:b/>
                <w:sz w:val="14"/>
              </w:rPr>
              <w:t>10,805.0</w:t>
            </w:r>
          </w:p>
        </w:tc>
        <w:tc>
          <w:tcPr>
            <w:tcW w:w="780" w:type="dxa"/>
            <w:vAlign w:val="center"/>
          </w:tcPr>
          <w:p w14:paraId="22607249" w14:textId="77777777" w:rsidR="009C4F3C" w:rsidRDefault="00000000">
            <w:pPr>
              <w:keepNext/>
              <w:jc w:val="right"/>
              <w:ind w:firstLine="0"/>
            </w:pPr>
            <w:r>
              <w:rPr>
                <w:b/>
                <w:sz w:val="14"/>
              </w:rPr>
              <w:t>63.03%</w:t>
            </w:r>
          </w:p>
        </w:tc>
        <w:tc>
          <w:tcPr>
            <w:tcW w:w="750" w:type="dxa"/>
            <w:vAlign w:val="center"/>
          </w:tcPr>
          <w:p w14:paraId="690D14F6" w14:textId="77777777" w:rsidR="009C4F3C" w:rsidRDefault="00000000">
            <w:pPr>
              <w:keepNext/>
              <w:jc w:val="right"/>
              <w:ind w:firstLine="0"/>
            </w:pPr>
            <w:r>
              <w:rPr>
                <w:b/>
                <w:sz w:val="14"/>
              </w:rPr>
              <w:t>227</w:t>
            </w:r>
          </w:p>
        </w:tc>
      </w:tr>
      <w:tr w:rsidR="009C4F3C" w14:paraId="27C3CE68" w14:textId="77777777">
        <w:trPr>
          <w:cantSplit/>
        </w:trPr>
        <w:tc>
          <w:tcPr>
            <w:tcW w:w="1950" w:type="dxa"/>
            <w:vAlign w:val="center"/>
          </w:tcPr>
          <w:p w14:paraId="703F44EB" w14:textId="77777777" w:rsidR="009C4F3C" w:rsidRDefault="00000000">
            <w:pPr>
              <w:ind w:firstLine="0"/>
            </w:pPr>
            <w:r>
              <w:rPr>
                <w:sz w:val="14"/>
              </w:rPr>
              <w:t xml:space="preserve">Capacity ignored</w:t>
            </w:r>
          </w:p>
        </w:tc>
        <w:tc>
          <w:tcPr>
            <w:tcW w:w="820" w:type="dxa"/>
            <w:vAlign w:val="center"/>
          </w:tcPr>
          <w:p w14:paraId="4643DC70" w14:textId="77777777" w:rsidR="009C4F3C" w:rsidRDefault="00000000">
            <w:pPr>
              <w:jc w:val="right"/>
              <w:ind w:firstLine="0"/>
            </w:pPr>
            <w:r>
              <w:rPr>
                <w:sz w:val="14"/>
              </w:rPr>
              <w:t>9,958.2</w:t>
            </w:r>
          </w:p>
        </w:tc>
        <w:tc>
          <w:tcPr>
            <w:tcW w:w="780" w:type="dxa"/>
            <w:vAlign w:val="center"/>
          </w:tcPr>
          <w:p w14:paraId="346C9246" w14:textId="77777777" w:rsidR="009C4F3C" w:rsidRDefault="00000000">
            <w:pPr>
              <w:jc w:val="right"/>
              <w:ind w:firstLine="0"/>
            </w:pPr>
            <w:r>
              <w:rPr>
                <w:sz w:val="14"/>
              </w:rPr>
              <w:t>65.93%</w:t>
            </w:r>
          </w:p>
        </w:tc>
        <w:tc>
          <w:tcPr>
            <w:tcW w:w="750" w:type="dxa"/>
            <w:vAlign w:val="center"/>
          </w:tcPr>
          <w:p w14:paraId="44345C40" w14:textId="77777777" w:rsidR="009C4F3C" w:rsidRDefault="00000000">
            <w:pPr>
              <w:jc w:val="right"/>
              <w:ind w:firstLine="0"/>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