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before="0" w:after="0"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43FFECC7" w14:textId="77777777" w:rsidR="00126056" w:rsidRDefault="00000000">
      <w:pPr>
        <w:spacing w:before="0" w:after="0"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before="0" w:after="0"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before="0" w:after="0" w:line="240" w:lineRule="auto"/>
        <w:ind w:firstLine="0"/>
        <w:jc w:val="center"/>
        <w:rPr>
          <w:sz w:val="19"/>
          <w:szCs w:val="19"/>
        </w:rPr>
      </w:pPr>
      <w:r>
        <w:rPr>
          <w:sz w:val="19"/>
          <w:szCs w:val="19"/>
        </w:rPr>
        <w:t>단국대학교</w:t>
      </w: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before="0" w:after="0"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before="0" w:after="0"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before="0" w:after="0"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before="0" w:after="0"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4AE90F0F" w14:textId="77777777" w:rsidR="00CA0C2E"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before="0" w:after="0"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before="0" w:after="0"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before="0" w:after="0"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before="0" w:after="0"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before="0" w:after="0"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before="0" w:after="0"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before="0" w:after="0"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before="0" w:after="0"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before="0" w:after="0"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before="0" w:after="0"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160" w:after="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after="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11" w:lineRule="exact"/>
        <w:ind w:firstLine="0"/>
        <w:rPr>
          <w:sz w:val="16"/>
          <w:szCs w:val="16"/>
        </w:rPr>
      </w:pPr>
      <w:r>
        <w:rPr>
          <w:b/>
          <w:sz w:val="16"/>
          <w:szCs w:val="16"/>
        </w:rPr>
        <w:t xml:space="preserve">그림 1</w:t>
      </w:r>
      <w:r>
        <w:rPr>
          <w:sz w:val="16"/>
          <w:szCs w:val="16"/>
        </w:rPr>
        <w:t xml:space="preserve"> CAST의 전체 파이프라인. 굵은 선이 작업이 지나는 길이다.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 The thick line traces the path a job takes.</w:t>
      </w:r>
    </w:p>
    <w:p w14:paraId="691766D7" w14:textId="77777777" w:rsidR="00960ED6" w:rsidRDefault="00000000" w:rsidP="00960ED6">
      <w:pPr>
        <w:spacing w:before="0" w:after="0"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before="0" w:after="0"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after="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11" w:lineRule="exact"/>
        <w:ind w:firstLine="0"/>
        <w:rPr>
          <w:sz w:val="16"/>
          <w:szCs w:val="16"/>
        </w:rPr>
      </w:pPr>
      <w:r>
        <w:rPr>
          <w:b/>
          <w:sz w:val="16"/>
          <w:szCs w:val="16"/>
        </w:rPr>
        <w:t xml:space="preserve">그림 2</w:t>
      </w:r>
      <w:r>
        <w:rPr>
          <w:sz w:val="16"/>
          <w:szCs w:val="16"/>
        </w:rPr>
        <w:t xml:space="preserve"> 리전별 LSTM 구조. 모델은 리전마다 독립이다.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 One model per region.</w:t>
      </w:r>
    </w:p>
    <w:p w14:paraId="232C9F02" w14:textId="77777777" w:rsidR="00CA0C2E" w:rsidRDefault="00000000" w:rsidP="00724B75">
      <w:pPr>
        <w:spacing w:before="0" w:after="0"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10D4568" w14:textId="77777777" w:rsidR="00960ED6" w:rsidRDefault="00000000" w:rsidP="00960ED6">
      <w:pPr>
        <w:keepNext/>
        <w:spacing w:before="240" w:after="0" w:line="240" w:lineRule="auto"/>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line="211" w:lineRule="exact"/>
        <w:ind w:firstLine="0"/>
        <w:rPr>
          <w:sz w:val="16"/>
          <w:szCs w:val="16"/>
        </w:rPr>
      </w:pPr>
      <w:r>
        <w:rPr>
          <w:b/>
          <w:sz w:val="16"/>
          <w:szCs w:val="16"/>
        </w:rPr>
        <w:t xml:space="preserve">그림 3</w:t>
      </w:r>
      <w:r>
        <w:rPr>
          <w:sz w:val="16"/>
          <w:szCs w:val="16"/>
        </w:rPr>
        <w:t xml:space="preserve"> 리전별 탄소집약도 예측. 캘리포니아의 한 구간이며 평균 절대 오차는 12.2 gCO₂/kWh다.</w:t>
      </w:r>
    </w:p>
    <w:p>
      <w:pPr>
        <w:keepLines/>
        <w:spacing w:before="0" w:after="120" w:line="247" w:lineRule="exact"/>
        <w:ind w:firstLine="0"/>
        <w:rPr>
          <w:sz w:val="15"/>
          <w:szCs w:val="15"/>
        </w:rPr>
      </w:pPr>
      <w:r>
        <w:rPr>
          <w:sz w:val="15"/>
          <w:szCs w:val="15"/>
        </w:rPr>
        <w:t xml:space="preserve">Fig. 3 Per-region carbon intensity forecast. One window for California; the mean absolute error is 12.2 gCO₂/kWh.</w:t>
      </w:r>
    </w:p>
    <w:p w14:paraId="01DCC64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before="0" w:after="0"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before="0" w:after="0" w:line="247" w:lineRule="exact"/>
      </w:pPr>
      <w:r>
        <w:t xml:space="preserve">식 (2)는 한 작업을 한 리전에만 배정한다는 뜻이다. 식 (4)는 실행이 제출 이후이고 마감 이내여야 한다는 뜻으로, 마감은 무를 수 없는 하드 제약이다 — 이를 벌점으로 무르게 둔 선행 정책에서는 마감 위반이 나온다(표 4). 식 (5)는 지연 예산을 정한다. 식 (1)~(5)를 하나의 정수 계획으로 묶지 않은 것은 시간 이동을 온라인으로 두기 위해서다 — 묶으면 모든 작업과 1년치 예측을 미리 알아야 풀린다.</w:t>
      </w:r>
    </w:p>
    <w:p w14:paraId="07B3F49F" w14:textId="77777777" w:rsidR="00CA0C2E" w:rsidRDefault="00000000" w:rsidP="00724B75">
      <w:pPr>
        <w:spacing w:before="0" w:after="0"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before="0" w:after="0"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after="0" w:line="240" w:lineRule="auto"/>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line="211" w:lineRule="exact"/>
        <w:ind w:firstLine="0"/>
        <w:rPr>
          <w:sz w:val="16"/>
          <w:szCs w:val="16"/>
        </w:rPr>
      </w:pPr>
      <w:r>
        <w:rPr>
          <w:b/>
          <w:sz w:val="16"/>
          <w:szCs w:val="16"/>
        </w:rPr>
        <w:t xml:space="preserve">그림 4</w:t>
      </w:r>
      <w:r>
        <w:rPr>
          <w:sz w:val="16"/>
          <w:szCs w:val="16"/>
        </w:rPr>
        <w:t xml:space="preserve"> 공간 이동이 맞바꾸는 두 축. 한 슬롯의 여덟 리전이다(한국 출발).</w:t>
      </w:r>
    </w:p>
    <w:p>
      <w:pPr>
        <w:keepLines/>
        <w:spacing w:before="0" w:after="120" w:line="247" w:lineRule="exact"/>
        <w:ind w:firstLine="0"/>
        <w:rPr>
          <w:sz w:val="15"/>
          <w:szCs w:val="15"/>
        </w:rPr>
      </w:pPr>
      <w:r>
        <w:rPr>
          <w:sz w:val="15"/>
          <w:szCs w:val="15"/>
        </w:rPr>
        <w:t xml:space="preserve">Fig. 4 Trade-off axes of spatial shifting. Eight regions at one slot, with Korea as the origin.</w:t>
      </w:r>
    </w:p>
    <w:p w14:paraId="7020C5BE" w14:textId="77777777" w:rsidR="00CA0C2E" w:rsidRDefault="00000000" w:rsidP="00724B75">
      <w:pPr>
        <w:spacing w:before="0" w:after="0"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before="0" w:after="0"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before="0" w:after="0"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before="0" w:after="0"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before="0" w:after="0"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before="0" w:after="0"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before="0" w:after="0"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before="0" w:after="0"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before="0" w:after="0"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11" w:lineRule="exact"/>
        <w:ind w:firstLine="0"/>
        <w:rPr>
          <w:sz w:val="16"/>
          <w:szCs w:val="16"/>
        </w:rPr>
      </w:pPr>
      <w:r>
        <w:rPr>
          <w:b/>
          <w:sz w:val="16"/>
          <w:szCs w:val="16"/>
        </w:rPr>
        <w:t xml:space="preserve">표 1</w:t>
      </w:r>
      <w:r>
        <w:rPr>
          <w:sz w:val="16"/>
          <w:szCs w:val="16"/>
        </w:rPr>
        <w:t xml:space="preserve"> 가중치 α 에 따른 배정 변화. 그림 4와 같은 슬롯이며 탄소는 gCO₂/kWh, 지연은 ms다.</w:t>
      </w:r>
    </w:p>
    <w:p>
      <w:pPr>
        <w:keepNext/>
        <w:keepLines/>
        <w:spacing w:before="0" w:after="60" w:line="247" w:lineRule="exact"/>
        <w:ind w:firstLine="0"/>
        <w:rPr>
          <w:sz w:val="15"/>
          <w:szCs w:val="15"/>
        </w:rPr>
      </w:pPr>
      <w:r>
        <w:rPr>
          <w:sz w:val="15"/>
          <w:szCs w:val="15"/>
        </w:rPr>
        <w:t xml:space="preserve">Table 1 Assignment change by weight α. 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1AF3DC19" w14:textId="77777777">
        <w:trPr>
          <w:cantSplit/>
        </w:trPr>
        <w:tc>
          <w:tcPr>
            <w:tcW w:w="983"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346"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01"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782"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983"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346"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01"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782"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983"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346"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01"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782"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983" w:type="dxa"/>
            <w:vAlign w:val="center"/>
          </w:tcPr>
          <w:p w14:paraId="478B37A8" w14:textId="77777777" w:rsidR="00354F08" w:rsidRDefault="00000000">
            <w:pPr>
              <w:spacing w:line="240" w:lineRule="auto"/>
            </w:pPr>
            <w:r>
              <w:rPr>
                <w:sz w:val="13"/>
                <w:szCs w:val="13"/>
              </w:rPr>
              <w:t>1.0</w:t>
            </w:r>
          </w:p>
        </w:tc>
        <w:tc>
          <w:tcPr>
            <w:tcW w:w="1346" w:type="dxa"/>
            <w:vAlign w:val="center"/>
          </w:tcPr>
          <w:p w14:paraId="42E31401" w14:textId="77777777" w:rsidR="00354F08" w:rsidRDefault="00000000">
            <w:pPr>
              <w:spacing w:line="240" w:lineRule="auto"/>
            </w:pPr>
            <w:r>
              <w:rPr>
                <w:sz w:val="13"/>
                <w:szCs w:val="13"/>
              </w:rPr>
              <w:t xml:space="preserve">France</w:t>
            </w:r>
          </w:p>
        </w:tc>
        <w:tc>
          <w:tcPr>
            <w:tcW w:w="801" w:type="dxa"/>
            <w:vAlign w:val="center"/>
          </w:tcPr>
          <w:p w14:paraId="1C833A64" w14:textId="77777777" w:rsidR="00354F08" w:rsidRDefault="00000000">
            <w:pPr>
              <w:spacing w:line="240" w:lineRule="auto"/>
              <w:jc w:val="right"/>
              <w:rPr>
                <w:sz w:val="13"/>
                <w:szCs w:val="13"/>
              </w:rPr>
            </w:pPr>
            <w:r>
              <w:rPr>
                <w:sz w:val="13"/>
                <w:szCs w:val="13"/>
              </w:rPr>
              <w:t>9</w:t>
            </w:r>
          </w:p>
        </w:tc>
        <w:tc>
          <w:tcPr>
            <w:tcW w:w="782"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after="0" w:line="240" w:lineRule="auto"/>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line="211" w:lineRule="exact"/>
        <w:ind w:firstLine="0"/>
        <w:rPr>
          <w:color w:val="EE0000"/>
          <w:sz w:val="16"/>
          <w:szCs w:val="16"/>
        </w:rPr>
      </w:pPr>
      <w:r>
        <w:rPr>
          <w:b/>
          <w:sz w:val="16"/>
          <w:szCs w:val="16"/>
        </w:rPr>
        <w:t xml:space="preserve">그림 5</w:t>
      </w:r>
      <w:r>
        <w:rPr>
          <w:sz w:val="16"/>
          <w:szCs w:val="16"/>
        </w:rPr>
        <w:t xml:space="preserve"> 공간 이동이 만든 리전 간 흐름. 1년치 146,000건 가운데 옮긴 물량의 91%를 차지하는 흐름 10개다. 회색 세로선은 홈에 남은 몫, 검은 칠은 20% 넘게 받은 리전이다.</w:t>
      </w:r>
    </w:p>
    <w:p>
      <w:pPr>
        <w:keepLines/>
        <w:spacing w:before="0" w:after="120" w:line="247" w:lineRule="exact"/>
        <w:ind w:firstLine="0"/>
        <w:rPr>
          <w:color w:val="EE0000"/>
          <w:sz w:val="15"/>
          <w:szCs w:val="15"/>
        </w:rPr>
      </w:pPr>
      <w:r>
        <w:rPr>
          <w:sz w:val="15"/>
          <w:szCs w:val="15"/>
        </w:rPr>
        <w:t xml:space="preserve">Fig. 5 Inter-region flow created by spatial shifting. The 10 flows carrying 91% of moved jobs out of 146,000 assignments over one year. Gray verticals are the share kept at the origin, black fill marks regions receiving over 20%.</w:t>
      </w:r>
    </w:p>
    <w:p w14:paraId="397B776D" w14:textId="77777777" w:rsidR="00CA0C2E" w:rsidRDefault="00000000" w:rsidP="00724B75">
      <w:pPr>
        <w:spacing w:before="0" w:after="0"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before="0" w:after="0"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after="0" w:line="240" w:lineRule="auto"/>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line="211" w:lineRule="exact"/>
        <w:ind w:firstLine="0"/>
        <w:rPr>
          <w:sz w:val="16"/>
          <w:szCs w:val="16"/>
        </w:rPr>
      </w:pPr>
      <w:r>
        <w:rPr>
          <w:b/>
          <w:sz w:val="16"/>
          <w:szCs w:val="16"/>
        </w:rPr>
        <w:t xml:space="preserve">그림 6</w:t>
      </w:r>
      <w:r>
        <w:rPr>
          <w:sz w:val="16"/>
          <w:szCs w:val="16"/>
        </w:rPr>
        <w:t xml:space="preserve"> 고정 α 스윕과 슬롯별 무릎점(α=auto)의 파레토 곡선. 선은 고정 α 점만 잇는다.</w:t>
      </w:r>
    </w:p>
    <w:p>
      <w:pPr>
        <w:keepLines/>
        <w:spacing w:before="0" w:after="120" w:line="247" w:lineRule="exact"/>
        <w:ind w:firstLine="0"/>
        <w:rPr>
          <w:sz w:val="15"/>
          <w:szCs w:val="15"/>
        </w:rPr>
      </w:pPr>
      <w:r>
        <w:rPr>
          <w:sz w:val="15"/>
          <w:szCs w:val="15"/>
        </w:rPr>
        <w:t xml:space="preserve">Fig. 6 Pareto curve of the fixed-α sweep and per-slot knee points. The line connects only the fixed-α points.</w:t>
      </w:r>
    </w:p>
    <w:p w14:paraId="77C0B9E6" w14:textId="77777777" w:rsidR="00CA0C2E" w:rsidRDefault="00000000" w:rsidP="00724B75">
      <w:pPr>
        <w:spacing w:before="0" w:after="0"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before="0" w:after="0"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before="0" w:after="0"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after="0" w:line="240" w:lineRule="auto"/>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line="211" w:lineRule="exact"/>
        <w:ind w:firstLine="0"/>
        <w:rPr>
          <w:sz w:val="16"/>
          <w:szCs w:val="16"/>
        </w:rPr>
      </w:pPr>
      <w:r>
        <w:rPr>
          <w:b/>
          <w:sz w:val="16"/>
          <w:szCs w:val="16"/>
        </w:rPr>
        <w:t xml:space="preserve">그림 7</w:t>
      </w:r>
      <w:r>
        <w:rPr>
          <w:sz w:val="16"/>
          <w:szCs w:val="16"/>
        </w:rPr>
        <w:t xml:space="preserve"> 용량이 시간 이동을 막는 방식. 캘리포니아의 한 날(4월)이며 창이 가장 넓은 9건이다. 가는 선이 창, 굵은 막대가 실행 구간이고 세로선은 탄소 최저이자 상한 도달 시각이다.</w:t>
      </w:r>
    </w:p>
    <w:p>
      <w:pPr>
        <w:keepLines/>
        <w:spacing w:before="0" w:after="120" w:line="247" w:lineRule="exact"/>
        <w:ind w:firstLine="0"/>
        <w:rPr>
          <w:sz w:val="15"/>
          <w:szCs w:val="15"/>
        </w:rPr>
      </w:pPr>
      <w:r>
        <w:rPr>
          <w:sz w:val="15"/>
          <w:szCs w:val="15"/>
        </w:rPr>
        <w:t xml:space="preserve">Fig. 7 How capacity blocks temporal shifting. One April day for California, showing the 9 jobs with the widest windows. Thin lines are windows, thick bars the executed interval, and the vertical marks the carbon minimum, which is also when the ceiling is reached.</w:t>
      </w:r>
    </w:p>
    <w:p w14:paraId="774219A4" w14:textId="77777777" w:rsidR="004D20D1" w:rsidRDefault="00000000">
      <w:pPr>
        <w:spacing w:before="0" w:after="0"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before="0" w:after="0"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before="0" w:after="0"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before="0" w:after="0"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before="0" w:after="0"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before="0" w:after="0"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before="0" w:after="0"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before="0" w:after="0"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before="0" w:after="0"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before="0" w:after="0"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before="0" w:after="0"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before="0" w:after="0"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160" w:after="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before="0" w:after="0"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before="0" w:after="0"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11" w:lineRule="exact"/>
        <w:jc w:val="left"/>
        <w:rPr>
          <w:sz w:val="16"/>
          <w:szCs w:val="16"/>
        </w:rPr>
      </w:pPr>
      <w:r>
        <w:rPr>
          <w:b/>
          <w:sz w:val="16"/>
          <w:szCs w:val="16"/>
        </w:rPr>
        <w:t xml:space="preserve">표 2</w:t>
      </w:r>
      <w:r>
        <w:rPr>
          <w:sz w:val="16"/>
          <w:szCs w:val="16"/>
        </w:rPr>
        <w:t xml:space="preserve"> 지연 등급과 가중치. 예산은 등급 안에서 로그균등으로 뽑는다.</w:t>
      </w:r>
    </w:p>
    <w:p>
      <w:pPr>
        <w:keepNext/>
        <w:keepLines/>
        <w:spacing w:before="0" w:after="60" w:line="247" w:lineRule="exact"/>
        <w:jc w:val="left"/>
        <w:rPr>
          <w:sz w:val="15"/>
          <w:szCs w:val="15"/>
        </w:rPr>
      </w:pPr>
      <w:r>
        <w:rPr>
          <w:sz w:val="15"/>
          <w:szCs w:val="15"/>
        </w:rPr>
        <w:t xml:space="preserve">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33DA85B0" w14:textId="77777777">
        <w:trPr>
          <w:cantSplit/>
        </w:trPr>
        <w:tc>
          <w:tcPr>
            <w:tcW w:w="1547"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819"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773"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773"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547"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819"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773"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773"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547"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819"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773"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773"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547"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819"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773"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773"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547" w:type="dxa"/>
            <w:vAlign w:val="center"/>
          </w:tcPr>
          <w:p w14:paraId="250B9C1E" w14:textId="77777777" w:rsidR="004A6DA0" w:rsidRDefault="00000000">
            <w:pPr>
              <w:spacing w:line="240" w:lineRule="auto"/>
              <w:ind w:firstLine="0"/>
              <w:rPr>
                <w:sz w:val="13"/>
                <w:szCs w:val="13"/>
              </w:rPr>
            </w:pPr>
            <w:r>
              <w:rPr>
                <w:sz w:val="13"/>
                <w:szCs w:val="13"/>
              </w:rPr>
              <w:t>4</w:t>
            </w:r>
          </w:p>
        </w:tc>
        <w:tc>
          <w:tcPr>
            <w:tcW w:w="819"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773"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547" w:type="dxa"/>
            <w:vAlign w:val="center"/>
          </w:tcPr>
          <w:p w14:paraId="2BDE60EA" w14:textId="77777777" w:rsidR="004A6DA0" w:rsidRDefault="00000000">
            <w:pPr>
              <w:spacing w:line="240" w:lineRule="auto"/>
              <w:ind w:firstLine="0"/>
              <w:rPr>
                <w:sz w:val="13"/>
                <w:szCs w:val="13"/>
              </w:rPr>
            </w:pPr>
            <w:r>
              <w:rPr>
                <w:sz w:val="13"/>
                <w:szCs w:val="13"/>
              </w:rPr>
              <w:t>5</w:t>
            </w:r>
          </w:p>
        </w:tc>
        <w:tc>
          <w:tcPr>
            <w:tcW w:w="819"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773"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before="0" w:after="0"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before="0" w:after="0"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before="0" w:after="0"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11" w:lineRule="exact"/>
        <w:jc w:val="left"/>
        <w:rPr>
          <w:sz w:val="16"/>
          <w:szCs w:val="16"/>
        </w:rPr>
      </w:pPr>
      <w:r>
        <w:rPr>
          <w:sz w:val="16"/>
          <w:szCs w:val="16"/>
        </w:rPr>
        <w:t xml:space="preserve">표 3 다섯 방식의 총 배출량과 용량 위반. 위반은 유효 상한 12를 넘겨 배정한 건수이며, 상한이 기준 배정의 최대치에서 나온 값이라 기준에서도 1건이 잡힌다.</w:t>
      </w:r>
    </w:p>
    <w:p>
      <w:pPr>
        <w:keepNext/>
        <w:keepLines/>
        <w:spacing w:before="0" w:after="60" w:line="247" w:lineRule="exact"/>
        <w:jc w:val="left"/>
        <w:rPr>
          <w:sz w:val="15"/>
          <w:szCs w:val="15"/>
        </w:rPr>
      </w:pPr>
      <w:r>
        <w:rPr>
          <w:sz w:val="15"/>
          <w:szCs w:val="15"/>
        </w:rPr>
        <w:t xml:space="preserve">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039EF255" w14:textId="77777777">
        <w:trPr>
          <w:cantSplit/>
        </w:trPr>
        <w:tc>
          <w:tcPr>
            <w:tcW w:w="1547"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819"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773"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773"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547"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819"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773"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773"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547"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819"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773"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773"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547"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819"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773"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773"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547"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547"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819"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after="0" w:line="240" w:lineRule="auto"/>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line="211" w:lineRule="exact"/>
        <w:ind w:firstLine="0"/>
        <w:rPr>
          <w:sz w:val="16"/>
          <w:szCs w:val="16"/>
        </w:rPr>
      </w:pPr>
      <w:r>
        <w:rPr>
          <w:b/>
          <w:sz w:val="16"/>
          <w:szCs w:val="16"/>
        </w:rPr>
        <w:t xml:space="preserve">그림 8</w:t>
      </w:r>
      <w:r>
        <w:rPr>
          <w:sz w:val="16"/>
          <w:szCs w:val="16"/>
        </w:rPr>
        <w:t xml:space="preserve"> 다섯 방식의 총 배출량 비교 (표 3).</w:t>
      </w:r>
    </w:p>
    <w:p>
      <w:pPr>
        <w:keepLines/>
        <w:spacing w:before="0" w:after="12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before="0" w:after="0"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before="0" w:after="0"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before="0" w:after="0"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before="0" w:after="0"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before="0" w:after="0"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before="0" w:after="0"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before="0" w:after="0"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w:t>
      </w:r>
      <w:proofErr w:type="spellStart"/>
      <w:proofErr w:type="spellEnd"/>
    </w:p>
    <w:p w14:paraId="439C28EA" w14:textId="77777777" w:rsidR="004D20D1" w:rsidRDefault="00000000">
      <w:pPr>
        <w:spacing w:before="240" w:after="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before="0" w:after="0"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after="0" w:line="240" w:lineRule="auto"/>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line="211" w:lineRule="exact"/>
        <w:ind w:firstLine="0"/>
        <w:rPr>
          <w:sz w:val="16"/>
          <w:szCs w:val="16"/>
        </w:rPr>
      </w:pPr>
      <w:r>
        <w:rPr>
          <w:b/>
          <w:sz w:val="16"/>
          <w:szCs w:val="16"/>
        </w:rPr>
        <w:t xml:space="preserve">그림 9</w:t>
      </w:r>
      <w:r>
        <w:rPr>
          <w:sz w:val="16"/>
          <w:szCs w:val="16"/>
        </w:rPr>
        <w:t xml:space="preserve"> 시간 이동 전후 캘리포니아의 동시 실행 수. 연중 한 주(day 231–238)이며, 온라인의 연중 최대 17건은 다른 주에서 난다.</w:t>
      </w:r>
    </w:p>
    <w:p>
      <w:pPr>
        <w:keepLines/>
        <w:spacing w:before="0" w:after="120" w:line="247" w:lineRule="exact"/>
        <w:ind w:firstLine="0"/>
        <w:rPr>
          <w:sz w:val="15"/>
          <w:szCs w:val="15"/>
        </w:rPr>
      </w:pPr>
      <w:r>
        <w:rPr>
          <w:sz w:val="15"/>
          <w:szCs w:val="15"/>
        </w:rPr>
        <w:t xml:space="preserve">Fig. 9 California concurrent executions before and after temporal shifting. One week of the year (day 231–238); the online peak of 17 over the full year falls in a different week.</w:t>
      </w:r>
    </w:p>
    <w:p w14:paraId="61992F2F" w14:textId="77777777" w:rsidR="00CA0C2E" w:rsidRDefault="00000000" w:rsidP="00724B75">
      <w:pPr>
        <w:spacing w:before="0" w:after="0"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before="0" w:after="0"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before="0" w:after="0"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before="0" w:after="0"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after="0" w:line="240" w:lineRule="auto"/>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line="211" w:lineRule="exact"/>
        <w:ind w:firstLine="0"/>
        <w:rPr>
          <w:sz w:val="16"/>
          <w:szCs w:val="16"/>
        </w:rPr>
      </w:pPr>
      <w:r>
        <w:rPr>
          <w:b/>
          <w:sz w:val="16"/>
          <w:szCs w:val="16"/>
        </w:rPr>
        <w:t xml:space="preserve">그림 10</w:t>
      </w:r>
      <w:r>
        <w:rPr>
          <w:sz w:val="16"/>
          <w:szCs w:val="16"/>
        </w:rPr>
        <w:t xml:space="preserve"> 선행 정책 재현 결과 비교 (표 4). ● 본 연구, ○ 선행 정책이며 점 이름은 표 4와 같다. 절감률이 0인 기준은 싣지 않았고, 음영은 CAST보다 위반이 적으면서 더 줄인 영역이다.</w:t>
      </w:r>
    </w:p>
    <w:p>
      <w:pPr>
        <w:keepLines/>
        <w:spacing w:before="0" w:after="120" w:line="247" w:lineRule="exact"/>
        <w:ind w:firstLine="0"/>
        <w:rPr>
          <w:sz w:val="15"/>
          <w:szCs w:val="15"/>
        </w:rPr>
      </w:pPr>
      <w:r>
        <w:rPr>
          <w:sz w:val="15"/>
          <w:szCs w:val="15"/>
        </w:rPr>
        <w:t xml:space="preserve">Fig. 10 Comparison of reproduced prior policies (Table 4). ● this work, ○ prior policy; point labels match Table 4. The baseline, at 0% savings, is omitted, and the shaded area would hold any policy with fewer violations and larger savings than CAST.</w:t>
      </w:r>
    </w:p>
    <w:p w14:paraId="412A6B48" w14:textId="77777777" w:rsidR="00CA0C2E" w:rsidRDefault="00000000" w:rsidP="00724B75">
      <w:pPr>
        <w:keepNext/>
        <w:keepLines/>
        <w:spacing w:before="240" w:after="0" w:line="211" w:lineRule="exact"/>
        <w:ind w:firstLine="0"/>
        <w:rPr>
          <w:sz w:val="16"/>
          <w:szCs w:val="16"/>
        </w:rPr>
      </w:pPr>
      <w:r>
        <w:rPr>
          <w:sz w:val="16"/>
          <w:szCs w:val="16"/>
        </w:rPr>
        <w:t xml:space="preserve">표 4 선행 정책을 같은 회계로 재현한 결과. 총배출은 kg, 위반은 건이다. 용량 위반은 유효 상한 12를 모든 정책에 같은 정의로 적용해 셌고, 마감 위반은 Caspian 외에는 모두 0이다.</w:t>
      </w:r>
    </w:p>
    <w:p>
      <w:pPr>
        <w:keepNext/>
        <w:keepLines/>
        <w:spacing w:before="0" w:after="60" w:line="247" w:lineRule="exact"/>
        <w:ind w:firstLine="0"/>
        <w:rPr>
          <w:sz w:val="15"/>
          <w:szCs w:val="15"/>
        </w:rPr>
      </w:pPr>
      <w:r>
        <w:rPr>
          <w:sz w:val="15"/>
          <w:szCs w:val="15"/>
        </w:rPr>
        <w:t xml:space="preserve">Table 4 Prior policies reproduced under the same accounting. Emissions in kg, violations in jobs. Violations are counted by applying the same effective ceiling of 12 to every policy; deadline violations are zero for every policy except Caspian.</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59450680" w14:textId="77777777">
        <w:trPr>
          <w:cantSplit/>
        </w:trPr>
        <w:tc>
          <w:tcPr>
            <w:tcW w:w="1774"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746"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1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682"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774"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746"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1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682"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774"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746"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1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682"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774"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746"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1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682"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774"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746"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1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682"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774"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746"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1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682"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774"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746"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1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682"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774"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746"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1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682"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774"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746"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1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682"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774"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746"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1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682"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774"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746"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1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682"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before="0" w:after="0" w:line="247" w:lineRule="exact"/>
      </w:pPr>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pPr>
        <w:spacing w:before="0" w:after="0" w:line="247" w:lineRule="exact"/>
      </w:pPr>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pPr>
        <w:spacing w:before="0" w:after="0" w:line="247" w:lineRule="exact"/>
      </w:pPr>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pPr>
        <w:spacing w:before="0" w:after="0" w:line="247" w:lineRule="exact"/>
      </w:pPr>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pPr>
        <w:spacing w:before="0" w:after="0"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160" w:after="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before="0" w:after="0"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43540B08" w14:textId="7956F616" w:rsidR="00354F08" w:rsidRDefault="00000000">
      <w:pPr>
        <w:spacing w:before="240" w:after="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before="0" w:after="0"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before="0" w:after="0"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before="0" w:after="0"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before="0" w:after="0"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before="0" w:after="0"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before="0" w:after="0"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before="0" w:after="0"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before="0" w:after="0"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before="0" w:after="0"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before="0" w:after="0"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before="0" w:after="0"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before="0" w:after="0"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before="0" w:after="0"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before="0" w:after="0"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