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4</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CAST 의 정식화와 알고리즘</w:t>
            </w:r>
          </w:p>
        </w:tc>
        <w:tc>
          <w:tcPr>
            <w:tcW w:type="dxa" w:w="3173"/>
          </w:tcPr>
          <w:p>
            <w:r/>
            <w:r>
              <w:rPr>
                <w:b w:val="0"/>
                <w:sz w:val="17"/>
              </w:rPr>
              <w:t>3.2절 · 3.3절 · 3.4절 · 3.5절</w:t>
            </w:r>
          </w:p>
        </w:tc>
      </w:tr>
    </w:tbl>
    <w:p/>
    <w:p>
      <w:pPr>
        <w:jc w:val="both"/>
      </w:pPr>
      <w:r>
        <w:rPr>
          <w:i/>
          <w:sz w:val="20"/>
        </w:rPr>
        <w:t>표 번호는 본편과 구분하기 위해 S를 붙인다(표 S1 … 표 S19).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CAST 의 정식화와 알고리즘</w:t>
      </w:r>
    </w:p>
    <w:p>
      <w:pPr>
        <w:jc w:val="both"/>
      </w:pPr>
      <w:r>
        <w:rPr>
          <w:i w:val="0"/>
          <w:sz w:val="20"/>
        </w:rPr>
        <w:t>A.2~A.5 가 선행 정책을 원문 정식화째 옮긴 것과 같은 형태로, 본 연구의 알고리즘도 여기에 전부 편다. 본편을 펴 놓지 않아도 이 절만으로 다시 구현할 수 있도록 표기·식·의사코드·파라미터·구현 위치를 한자리에 둔다. 식 번호는 본편과 같으며, 식 (1)~(15)가 빠짐없이 들어 있다.</w:t>
      </w:r>
    </w:p>
    <w:p>
      <w:pPr>
        <w:pStyle w:val="Heading2"/>
      </w:pPr>
      <w:r>
        <w:rPr>
          <w:rFonts w:ascii="맑은 고딕" w:hAnsi="맑은 고딕"/>
        </w:rPr>
        <w:t>A.10.1  표기</w:t>
      </w:r>
    </w:p>
    <w:p>
      <w:pPr>
        <w:spacing w:before="120" w:after="40"/>
        <w:jc w:val="center"/>
      </w:pPr>
      <w:r>
        <w:rPr>
          <w:b/>
          <w:sz w:val="17"/>
        </w:rPr>
        <w:t>표 S12. 기호와 값</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c>
          <w:tcPr>
            <w:tcW w:type="dxa" w:w="3173"/>
          </w:tcPr>
          <w:p>
            <w:r/>
            <w:r>
              <w:rPr>
                <w:b w:val="0"/>
                <w:sz w:val="17"/>
              </w:rPr>
              <w:t>Ĉ_r(t)</w:t>
            </w:r>
          </w:p>
        </w:tc>
        <w:tc>
          <w:tcPr>
            <w:tcW w:type="dxa" w:w="3173"/>
          </w:tcPr>
          <w:p>
            <w:r/>
            <w:r>
              <w:rPr>
                <w:b w:val="0"/>
                <w:sz w:val="17"/>
              </w:rPr>
              <w:t>LSTM 예측 탄소집약도</w:t>
            </w:r>
          </w:p>
        </w:tc>
        <w:tc>
          <w:tcPr>
            <w:tcW w:type="dxa" w:w="3173"/>
          </w:tcPr>
          <w:p>
            <w:r/>
            <w:r>
              <w:rPr>
                <w:b w:val="0"/>
                <w:sz w:val="17"/>
              </w:rPr>
              <w:t>매 슬롯 새로 발행</w:t>
            </w:r>
          </w:p>
        </w:tc>
      </w:tr>
      <w:t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A.6 의 스윕이 다룬다.</w:t>
      </w:r>
    </w:p>
    <w:p>
      <w:pPr>
        <w:pStyle w:val="Heading2"/>
      </w:pPr>
      <w:r>
        <w:rPr>
          <w:rFonts w:ascii="맑은 고딕" w:hAnsi="맑은 고딕"/>
        </w:rPr>
        <w:t>A.10.2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A.10.5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A.10.3 과 A.10.5 다. 두 단계로 쪼갠 결과가 원 문제의 최적해라는 보장은 없으며, 본 연구는 그 주장을 하지 않는다.</w:t>
      </w:r>
    </w:p>
    <w:p>
      <w:pPr>
        <w:pStyle w:val="Heading2"/>
      </w:pPr>
      <w:r>
        <w:rPr>
          <w:rFonts w:ascii="맑은 고딕" w:hAnsi="맑은 고딕"/>
        </w:rPr>
        <w:t>A.10.3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S13.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S14.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A.10.4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A.10.5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w:t>
      </w:r>
    </w:p>
    <w:p>
      <w:pPr>
        <w:spacing w:after="80"/>
        <w:ind w:left="340"/>
      </w:pPr>
      <w:r>
        <w:rPr>
          <w:rFonts w:ascii="Menlo" w:hAnsi="Menlo"/>
          <w:sz w:val="17"/>
        </w:rPr>
        <w:t>16:     for each j ∈ S do</w:t>
      </w:r>
    </w:p>
    <w:p>
      <w:pPr>
        <w:spacing w:after="80"/>
        <w:ind w:left="340"/>
      </w:pPr>
      <w:r>
        <w:rPr>
          <w:rFonts w:ascii="Menlo" w:hAnsi="Menlo"/>
          <w:sz w:val="17"/>
        </w:rPr>
        <w:t>17:       τ_j ← max(t, s_j);  Q ← Q ∖ { j }</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S15.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t_max = 8,760 + 2</w:t>
            </w:r>
          </w:p>
        </w:tc>
      </w:tr>
      <w:t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A.6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S16.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S17.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A.10.6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S18.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S19.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A.10.7  재현에 필요한 파라미터</w:t>
      </w:r>
    </w:p>
    <w:p>
      <w:pPr>
        <w:jc w:val="both"/>
      </w:pPr>
      <w:r>
        <w:rPr>
          <w:i w:val="0"/>
          <w:sz w:val="20"/>
        </w:rPr>
        <w:t>표 S12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S20. 식에 안 나오는 재현 파라미터</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A.6 이다 — 무엇이 분포에 견디고 무엇이 견디지 못하는지를 그 절에서 나눈다.</w:t>
      </w:r>
    </w:p>
    <w:p>
      <w:pPr>
        <w:pStyle w:val="Heading2"/>
      </w:pPr>
      <w:r>
        <w:rPr>
          <w:rFonts w:ascii="맑은 고딕" w:hAnsi="맑은 고딕"/>
        </w:rPr>
        <w:t>A.10.8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A.10.9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