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jc w:val="center"/>
      </w:pPr>
      <w:r>
        <w:rPr>
          <w:b/>
          <w:sz w:val="30"/>
        </w:rPr>
        <w:t>CAST 추가자료</w:t>
        <w:br/>
        <w:t>선행 정책 재현의 원문 수식과 적용 절차</w:t>
      </w:r>
    </w:p>
    <w:p>
      <w:pPr>
        <w:autoSpaceDE w:val="0"/>
        <w:autoSpaceDN w:val="0"/>
        <w:jc w:val="center"/>
      </w:pPr>
      <w:r>
        <w:rPr>
          <w:sz w:val="18"/>
        </w:rPr>
        <w:t>본편: CAST — 리전 용량 제약을 고려한 탄소 인지 시공간 워크로드 스케줄링</w:t>
        <w:br/>
        <w:t>작성 2026-09-24</w:t>
      </w:r>
    </w:p>
    <w:p>
      <w:pPr>
        <w:autoSpaceDE w:val="0"/>
        <w:autoSpaceDN w:val="0"/>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절</w:t>
            </w:r>
          </w:p>
        </w:tc>
        <w:tc>
          <w:tcPr>
            <w:tcW w:type="dxa" w:w="3173"/>
          </w:tcPr>
          <w:p>
            <w:pPr>
              <w:autoSpaceDE w:val="0"/>
              <w:autoSpaceDN w:val="0"/>
            </w:pPr>
            <w:r/>
            <w:r>
              <w:rPr>
                <w:b/>
                <w:sz w:val="17"/>
              </w:rPr>
              <w:t>내용</w:t>
            </w:r>
          </w:p>
        </w:tc>
        <w:tc>
          <w:tcPr>
            <w:tcW w:type="dxa" w:w="3173"/>
          </w:tcPr>
          <w:p>
            <w:pPr>
              <w:autoSpaceDE w:val="0"/>
              <w:autoSpaceDN w:val="0"/>
            </w:pPr>
            <w:r/>
            <w:r>
              <w:rPr>
                <w:b/>
                <w:sz w:val="17"/>
              </w:rPr>
              <w:t>본편에서 참조하는 곳</w:t>
            </w:r>
          </w:p>
        </w:tc>
      </w:tr>
      <w:tr>
        <w:tc>
          <w:tcPr>
            <w:tcW w:type="dxa" w:w="3173"/>
          </w:tcPr>
          <w:p>
            <w:pPr>
              <w:autoSpaceDE w:val="0"/>
              <w:autoSpaceDN w:val="0"/>
            </w:pPr>
            <w:r/>
            <w:r>
              <w:rPr>
                <w:b w:val="0"/>
                <w:sz w:val="17"/>
              </w:rPr>
              <w:t>A.1</w:t>
            </w:r>
          </w:p>
        </w:tc>
        <w:tc>
          <w:tcPr>
            <w:tcW w:type="dxa" w:w="3173"/>
          </w:tcPr>
          <w:p>
            <w:pPr>
              <w:autoSpaceDE w:val="0"/>
              <w:autoSpaceDN w:val="0"/>
            </w:pPr>
            <w:r/>
            <w:r>
              <w:rPr>
                <w:b w:val="0"/>
                <w:sz w:val="17"/>
              </w:rPr>
              <w:t>재현 원칙과 공용 채점 규약</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A.2</w:t>
            </w:r>
          </w:p>
        </w:tc>
        <w:tc>
          <w:tcPr>
            <w:tcW w:type="dxa" w:w="3173"/>
          </w:tcPr>
          <w:p>
            <w:pPr>
              <w:autoSpaceDE w:val="0"/>
              <w:autoSpaceDN w:val="0"/>
            </w:pPr>
            <w:r/>
            <w:r>
              <w:rPr>
                <w:b w:val="0"/>
                <w:sz w:val="17"/>
              </w:rPr>
              <w:t>CASPER — 공개 코드의 MILP</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A.3</w:t>
            </w:r>
          </w:p>
        </w:tc>
        <w:tc>
          <w:tcPr>
            <w:tcW w:type="dxa" w:w="3173"/>
          </w:tcPr>
          <w:p>
            <w:pPr>
              <w:autoSpaceDE w:val="0"/>
              <w:autoSpaceDN w:val="0"/>
            </w:pPr>
            <w:r/>
            <w:r>
              <w:rPr>
                <w:b w:val="0"/>
                <w:sz w:val="17"/>
              </w:rPr>
              <w:t>CICS — Virtual Capacity Curve</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A.4</w:t>
            </w:r>
          </w:p>
        </w:tc>
        <w:tc>
          <w:tcPr>
            <w:tcW w:type="dxa" w:w="3173"/>
          </w:tcPr>
          <w:p>
            <w:pPr>
              <w:autoSpaceDE w:val="0"/>
              <w:autoSpaceDN w:val="0"/>
            </w:pPr>
            <w:r/>
            <w:r>
              <w:rPr>
                <w:b w:val="0"/>
                <w:sz w:val="17"/>
              </w:rPr>
              <w:t>Sukprasert — 공개 아티팩트의 탐색</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A.5</w:t>
            </w:r>
          </w:p>
        </w:tc>
        <w:tc>
          <w:tcPr>
            <w:tcW w:type="dxa" w:w="3173"/>
          </w:tcPr>
          <w:p>
            <w:pPr>
              <w:autoSpaceDE w:val="0"/>
              <w:autoSpaceDN w:val="0"/>
            </w:pPr>
            <w:r/>
            <w:r>
              <w:rPr>
                <w:b w:val="0"/>
                <w:sz w:val="17"/>
              </w:rPr>
              <w:t>Caspian — 원문 정수 계획 정식화</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A.6</w:t>
            </w:r>
          </w:p>
        </w:tc>
        <w:tc>
          <w:tcPr>
            <w:tcW w:type="dxa" w:w="3173"/>
          </w:tcPr>
          <w:p>
            <w:pPr>
              <w:autoSpaceDE w:val="0"/>
              <w:autoSpaceDN w:val="0"/>
            </w:pPr>
            <w:r/>
            <w:r>
              <w:rPr>
                <w:b w:val="0"/>
                <w:sz w:val="17"/>
              </w:rPr>
              <w:t>대응시키지 않은 정책과 그 이유</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A.7</w:t>
            </w:r>
          </w:p>
        </w:tc>
        <w:tc>
          <w:tcPr>
            <w:tcW w:type="dxa" w:w="3173"/>
          </w:tcPr>
          <w:p>
            <w:pPr>
              <w:autoSpaceDE w:val="0"/>
              <w:autoSpaceDN w:val="0"/>
            </w:pPr>
            <w:r/>
            <w:r>
              <w:rPr>
                <w:b w:val="0"/>
                <w:sz w:val="17"/>
              </w:rPr>
              <w:t>선행 연구의 평가 규모</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A.8</w:t>
            </w:r>
          </w:p>
        </w:tc>
        <w:tc>
          <w:tcPr>
            <w:tcW w:type="dxa" w:w="3173"/>
          </w:tcPr>
          <w:p>
            <w:pPr>
              <w:autoSpaceDE w:val="0"/>
              <w:autoSpaceDN w:val="0"/>
            </w:pPr>
            <w:r/>
            <w:r>
              <w:rPr>
                <w:b w:val="0"/>
                <w:sz w:val="17"/>
              </w:rPr>
              <w:t>아티팩트 — 코드와 재현 절차</w:t>
            </w:r>
          </w:p>
        </w:tc>
        <w:tc>
          <w:tcPr>
            <w:tcW w:type="dxa" w:w="3173"/>
          </w:tcPr>
          <w:p>
            <w:pPr>
              <w:autoSpaceDE w:val="0"/>
              <w:autoSpaceDN w:val="0"/>
            </w:pPr>
            <w:r/>
            <w:r>
              <w:rPr>
                <w:b w:val="0"/>
                <w:sz w:val="17"/>
              </w:rPr>
              <w:t>4.1절</w:t>
            </w:r>
          </w:p>
        </w:tc>
      </w:tr>
      <w:tr>
        <w:tc>
          <w:tcPr>
            <w:tcW w:type="dxa" w:w="3173"/>
          </w:tcPr>
          <w:p>
            <w:pPr>
              <w:autoSpaceDE w:val="0"/>
              <w:autoSpaceDN w:val="0"/>
            </w:pPr>
            <w:r/>
            <w:r>
              <w:rPr>
                <w:b w:val="0"/>
                <w:sz w:val="17"/>
              </w:rPr>
              <w:t>A.9</w:t>
            </w:r>
          </w:p>
        </w:tc>
        <w:tc>
          <w:tcPr>
            <w:tcW w:type="dxa" w:w="3173"/>
          </w:tcPr>
          <w:p>
            <w:pPr>
              <w:autoSpaceDE w:val="0"/>
              <w:autoSpaceDN w:val="0"/>
            </w:pPr>
            <w:r/>
            <w:r>
              <w:rPr>
                <w:b w:val="0"/>
                <w:sz w:val="17"/>
              </w:rPr>
              <w:t>정식화와 알고리즘의 세부</w:t>
            </w:r>
          </w:p>
        </w:tc>
        <w:tc>
          <w:tcPr>
            <w:tcW w:type="dxa" w:w="3173"/>
          </w:tcPr>
          <w:p>
            <w:pPr>
              <w:autoSpaceDE w:val="0"/>
              <w:autoSpaceDN w:val="0"/>
            </w:pPr>
            <w:r/>
            <w:r>
              <w:rPr>
                <w:b w:val="0"/>
                <w:sz w:val="17"/>
              </w:rPr>
              <w:t>3.2절 · 3.4절 · 3.5절</w:t>
            </w:r>
          </w:p>
        </w:tc>
      </w:tr>
    </w:tbl>
    <w:p/>
    <w:p>
      <w:pPr>
        <w:autoSpaceDE w:val="0"/>
        <w:autoSpaceDN w:val="0"/>
        <w:jc w:val="both"/>
      </w:pPr>
      <w:r>
        <w:rPr>
          <w:i/>
          <w:sz w:val="20"/>
        </w:rPr>
        <w:t>표 번호는 본편과 구분하기 위해 S를 붙인다(표 S1 … 표 S11). 본편의 번호와 섞이지 않는다. 본편의 표·그림·식을 가리킬 때는 “본편 표 5”처럼 적는다.</w:t>
      </w:r>
    </w:p>
    <w:p>
      <w:pPr>
        <w:autoSpaceDE w:val="0"/>
        <w:autoSpaceDN w:val="0"/>
      </w:pPr>
      <w:r>
        <w:br w:type="page"/>
      </w:r>
    </w:p>
    <w:p>
      <w:pPr>
        <w:autoSpaceDE w:val="0"/>
        <w:autoSpaceDN w:val="0"/>
        <w:pStyle w:val="Heading1"/>
      </w:pPr>
      <w:r>
        <w:rPr>
          <w:rFonts w:ascii="맑은 고딕" w:hAnsi="맑은 고딕"/>
        </w:rPr>
        <w:t>A.1  재현 원칙과 공용 채점 규약</w:t>
      </w:r>
    </w:p>
    <w:p>
      <w:pPr>
        <w:autoSpaceDE w:val="0"/>
        <w:autoSpaceDN w:val="0"/>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autoSpaceDE w:val="0"/>
        <w:autoSpaceDN w:val="0"/>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autoSpaceDE w:val="0"/>
        <w:autoSpaceDN w:val="0"/>
        <w:pStyle w:val="Heading2"/>
      </w:pPr>
      <w:r>
        <w:rPr>
          <w:rFonts w:ascii="맑은 고딕" w:hAnsi="맑은 고딕"/>
        </w:rPr>
        <w:t>공용 채점 규약</w:t>
      </w:r>
    </w:p>
    <w:p>
      <w:pPr>
        <w:autoSpaceDE w:val="0"/>
        <w:autoSpaceDN w:val="0"/>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autoSpaceDE w:val="0"/>
        <w:autoSpaceDN w:val="0"/>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autoSpaceDE w:val="0"/>
        <w:autoSpaceDN w:val="0"/>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autoSpaceDE w:val="0"/>
        <w:autoSpaceDN w:val="0"/>
        <w:pStyle w:val="Heading1"/>
      </w:pPr>
      <w:r>
        <w:rPr>
          <w:rFonts w:ascii="맑은 고딕" w:hAnsi="맑은 고딕"/>
        </w:rPr>
        <w:t>A.2  CASPER — 공개 코드의 MILP</w:t>
      </w:r>
    </w:p>
    <w:p>
      <w:pPr>
        <w:autoSpaceDE w:val="0"/>
        <w:autoSpaceDN w:val="0"/>
        <w:jc w:val="both"/>
      </w:pPr>
      <w:r>
        <w:rPr>
          <w:i w:val="0"/>
          <w:sz w:val="20"/>
        </w:rPr>
        <w:t>출처는 저자들이 공개한 저장소(github.com/carbonfirst/casper)의 CAP/milp_scheduler.py다. 논문이 서술하는 정식화가 아니라 실제로 실행되는 코드를 옮겼다.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목적함수   min  α·(1/(max C·Σ r))·Σ x_ij·C_j  +  (1−α)·(1/S_max)·Σ s_i</w:t>
      </w:r>
    </w:p>
    <w:p>
      <w:pPr>
        <w:autoSpaceDE w:val="0"/>
        <w:autoSpaceDN w:val="0"/>
        <w:spacing w:after="80"/>
        <w:ind w:left="340"/>
      </w:pPr>
      <w:r>
        <w:rPr>
          <w:rFonts w:ascii="Menlo" w:hAnsi="Menlo"/>
          <w:sz w:val="17"/>
        </w:rPr>
        <w:t>지연 제약   x_ij·(ℓ_ij − L_max) ≤ 0        L_max = 500 ms   (하드)</w:t>
      </w:r>
    </w:p>
    <w:p>
      <w:pPr>
        <w:autoSpaceDE w:val="0"/>
        <w:autoSpaceDN w:val="0"/>
        <w:spacing w:after="80"/>
        <w:ind w:left="340"/>
      </w:pPr>
      <w:r>
        <w:rPr>
          <w:rFonts w:ascii="Menlo" w:hAnsi="Menlo"/>
          <w:sz w:val="17"/>
        </w:rPr>
        <w:t>용량 제약   Σ_i x_ij ≤ s_j · κ              κ = 10 요청/서버</w:t>
      </w:r>
    </w:p>
    <w:p>
      <w:pPr>
        <w:autoSpaceDE w:val="0"/>
        <w:autoSpaceDN w:val="0"/>
        <w:spacing w:after="80"/>
        <w:ind w:left="340"/>
      </w:pPr>
      <w:r>
        <w:rPr>
          <w:rFonts w:ascii="Menlo" w:hAnsi="Menlo"/>
          <w:sz w:val="17"/>
        </w:rPr>
        <w:t>수요 제약   Σ_j x_ij = r_i                   (전량 배정)</w:t>
      </w:r>
    </w:p>
    <w:p>
      <w:pPr>
        <w:autoSpaceDE w:val="0"/>
        <w:autoSpaceDN w:val="0"/>
        <w:spacing w:after="80"/>
        <w:ind w:left="340"/>
      </w:pPr>
      <w:r>
        <w:rPr>
          <w:rFonts w:ascii="Menlo" w:hAnsi="Menlo"/>
          <w:sz w:val="17"/>
        </w:rPr>
        <w:t>서버 상한   Σ_i s_i ≤ 100·|R|,  s_i ≤ 100    x, s ∈ 정수</w:t>
      </w:r>
    </w:p>
    <w:p>
      <w:pPr>
        <w:autoSpaceDE w:val="0"/>
        <w:autoSpaceDN w:val="0"/>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autoSpaceDE w:val="0"/>
        <w:autoSpaceDN w:val="0"/>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autoSpaceDE w:val="0"/>
        <w:autoSpaceDN w:val="0"/>
        <w:pStyle w:val="Heading2"/>
      </w:pPr>
      <w:r>
        <w:rPr>
          <w:rFonts w:ascii="맑은 고딕" w:hAnsi="맑은 고딕"/>
        </w:rPr>
        <w:t>두 제약이 한 번도 활성화되지 않는다</w:t>
      </w:r>
    </w:p>
    <w:p>
      <w:pPr>
        <w:autoSpaceDE w:val="0"/>
        <w:autoSpaceDN w:val="0"/>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autoSpaceDE w:val="0"/>
        <w:autoSpaceDN w:val="0"/>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p>
      <w:pPr>
        <w:autoSpaceDE w:val="0"/>
        <w:autoSpaceDN w:val="0"/>
        <w:spacing w:before="120" w:after="40"/>
        <w:jc w:val="center"/>
      </w:pPr>
      <w:r>
        <w:rPr>
          <w:b/>
          <w:sz w:val="17"/>
        </w:rPr>
        <w:t>표 S1. CASPER 두 스케줄러를 본 연구 데이터에 적용한 결과</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pPr>
              <w:autoSpaceDE w:val="0"/>
              <w:autoSpaceDN w:val="0"/>
            </w:pPr>
            <w:r/>
            <w:r>
              <w:rPr>
                <w:b/>
                <w:sz w:val="17"/>
              </w:rPr>
              <w:t>정책</w:t>
            </w:r>
          </w:p>
        </w:tc>
        <w:tc>
          <w:tcPr>
            <w:tcW w:type="dxa" w:w="1586"/>
          </w:tcPr>
          <w:p>
            <w:pPr>
              <w:autoSpaceDE w:val="0"/>
              <w:autoSpaceDN w:val="0"/>
              <w:jc w:val="right"/>
            </w:pPr>
            <w:r/>
            <w:r>
              <w:rPr>
                <w:b/>
                <w:sz w:val="17"/>
              </w:rPr>
              <w:t>총배출(kg)</w:t>
            </w:r>
          </w:p>
        </w:tc>
        <w:tc>
          <w:tcPr>
            <w:tcW w:type="dxa" w:w="1586"/>
          </w:tcPr>
          <w:p>
            <w:pPr>
              <w:autoSpaceDE w:val="0"/>
              <w:autoSpaceDN w:val="0"/>
              <w:jc w:val="right"/>
            </w:pPr>
            <w:r/>
            <w:r>
              <w:rPr>
                <w:b/>
                <w:sz w:val="17"/>
              </w:rPr>
              <w:t>절감률</w:t>
            </w:r>
          </w:p>
        </w:tc>
        <w:tc>
          <w:tcPr>
            <w:tcW w:type="dxa" w:w="1586"/>
          </w:tcPr>
          <w:p>
            <w:pPr>
              <w:autoSpaceDE w:val="0"/>
              <w:autoSpaceDN w:val="0"/>
              <w:jc w:val="right"/>
            </w:pPr>
            <w:r/>
            <w:r>
              <w:rPr>
                <w:b/>
                <w:sz w:val="17"/>
              </w:rPr>
              <w:t>평균 지연</w:t>
            </w:r>
          </w:p>
        </w:tc>
        <w:tc>
          <w:tcPr>
            <w:tcW w:type="dxa" w:w="1586"/>
          </w:tcPr>
          <w:p>
            <w:pPr>
              <w:autoSpaceDE w:val="0"/>
              <w:autoSpaceDN w:val="0"/>
              <w:jc w:val="right"/>
            </w:pPr>
            <w:r/>
            <w:r>
              <w:rPr>
                <w:b/>
                <w:sz w:val="17"/>
              </w:rPr>
              <w:t>마감 위반</w:t>
            </w:r>
          </w:p>
        </w:tc>
        <w:tc>
          <w:tcPr>
            <w:tcW w:type="dxa" w:w="1586"/>
          </w:tcPr>
          <w:p>
            <w:pPr>
              <w:autoSpaceDE w:val="0"/>
              <w:autoSpaceDN w:val="0"/>
              <w:jc w:val="right"/>
            </w:pPr>
            <w:r/>
            <w:r>
              <w:rPr>
                <w:b/>
                <w:sz w:val="17"/>
              </w:rPr>
              <w:t>용량 위반</w:t>
            </w:r>
          </w:p>
        </w:tc>
      </w:tr>
      <w:tr>
        <w:tc>
          <w:tcPr>
            <w:tcW w:type="dxa" w:w="1586"/>
          </w:tcPr>
          <w:p>
            <w:pPr>
              <w:autoSpaceDE w:val="0"/>
              <w:autoSpaceDN w:val="0"/>
            </w:pPr>
            <w:r/>
            <w:r>
              <w:rPr>
                <w:b w:val="0"/>
                <w:sz w:val="17"/>
              </w:rPr>
              <w:t>CASPER 탄소 스케줄러 (α=0.9)</w:t>
            </w:r>
          </w:p>
        </w:tc>
        <w:tc>
          <w:tcPr>
            <w:tcW w:type="dxa" w:w="1586"/>
          </w:tcPr>
          <w:p>
            <w:pPr>
              <w:autoSpaceDE w:val="0"/>
              <w:autoSpaceDN w:val="0"/>
              <w:jc w:val="right"/>
            </w:pPr>
            <w:r/>
            <w:r>
              <w:rPr>
                <w:b w:val="0"/>
                <w:sz w:val="17"/>
              </w:rPr>
              <w:t>1,379.1</w:t>
            </w:r>
          </w:p>
        </w:tc>
        <w:tc>
          <w:tcPr>
            <w:tcW w:type="dxa" w:w="1586"/>
          </w:tcPr>
          <w:p>
            <w:pPr>
              <w:autoSpaceDE w:val="0"/>
              <w:autoSpaceDN w:val="0"/>
              <w:jc w:val="right"/>
            </w:pPr>
            <w:r/>
            <w:r>
              <w:rPr>
                <w:b w:val="0"/>
                <w:sz w:val="17"/>
              </w:rPr>
              <w:t>95.28%</w:t>
            </w:r>
          </w:p>
        </w:tc>
        <w:tc>
          <w:tcPr>
            <w:tcW w:type="dxa" w:w="1586"/>
          </w:tcPr>
          <w:p>
            <w:pPr>
              <w:autoSpaceDE w:val="0"/>
              <w:autoSpaceDN w:val="0"/>
              <w:jc w:val="right"/>
            </w:pPr>
            <w:r/>
            <w:r>
              <w:rPr>
                <w:b w:val="0"/>
                <w:sz w:val="17"/>
              </w:rPr>
              <w:t>120.4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69,310</w:t>
            </w:r>
          </w:p>
        </w:tc>
      </w:tr>
      <w:tr>
        <w:tc>
          <w:tcPr>
            <w:tcW w:type="dxa" w:w="1586"/>
          </w:tcPr>
          <w:p>
            <w:pPr>
              <w:autoSpaceDE w:val="0"/>
              <w:autoSpaceDN w:val="0"/>
            </w:pPr>
            <w:r/>
            <w:r>
              <w:rPr>
                <w:b w:val="0"/>
                <w:sz w:val="17"/>
              </w:rPr>
              <w:t>CASPER 지연 비교군 (α=0.5)</w:t>
            </w:r>
          </w:p>
        </w:tc>
        <w:tc>
          <w:tcPr>
            <w:tcW w:type="dxa" w:w="1586"/>
          </w:tcPr>
          <w:p>
            <w:pPr>
              <w:autoSpaceDE w:val="0"/>
              <w:autoSpaceDN w:val="0"/>
              <w:jc w:val="right"/>
            </w:pPr>
            <w:r/>
            <w:r>
              <w:rPr>
                <w:b w:val="0"/>
                <w:sz w:val="17"/>
              </w:rPr>
              <w:t>29,225.6</w:t>
            </w:r>
          </w:p>
        </w:tc>
        <w:tc>
          <w:tcPr>
            <w:tcW w:type="dxa" w:w="1586"/>
          </w:tcPr>
          <w:p>
            <w:pPr>
              <w:autoSpaceDE w:val="0"/>
              <w:autoSpaceDN w:val="0"/>
              <w:jc w:val="right"/>
            </w:pPr>
            <w:r/>
            <w:r>
              <w:rPr>
                <w:b w:val="0"/>
                <w:sz w:val="17"/>
              </w:rPr>
              <w:t>0.00%</w:t>
            </w:r>
          </w:p>
        </w:tc>
        <w:tc>
          <w:tcPr>
            <w:tcW w:type="dxa" w:w="1586"/>
          </w:tcPr>
          <w:p>
            <w:pPr>
              <w:autoSpaceDE w:val="0"/>
              <w:autoSpaceDN w:val="0"/>
              <w:jc w:val="right"/>
            </w:pPr>
            <w:r/>
            <w:r>
              <w:rPr>
                <w:b w:val="0"/>
                <w:sz w:val="17"/>
              </w:rPr>
              <w:t>0.0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1</w:t>
            </w:r>
          </w:p>
        </w:tc>
      </w:tr>
      <w:tr>
        <w:tc>
          <w:tcPr>
            <w:tcW w:type="dxa" w:w="1586"/>
          </w:tcPr>
          <w:p>
            <w:pPr>
              <w:autoSpaceDE w:val="0"/>
              <w:autoSpaceDN w:val="0"/>
            </w:pPr>
            <w:r/>
            <w:r>
              <w:rPr>
                <w:b w:val="0"/>
                <w:sz w:val="17"/>
              </w:rPr>
              <w:t>(참고) 본 연구 CAST</w:t>
            </w:r>
          </w:p>
        </w:tc>
        <w:tc>
          <w:tcPr>
            <w:tcW w:type="dxa" w:w="1586"/>
          </w:tcPr>
          <w:p>
            <w:pPr>
              <w:autoSpaceDE w:val="0"/>
              <w:autoSpaceDN w:val="0"/>
              <w:jc w:val="right"/>
            </w:pPr>
            <w:r/>
            <w:r>
              <w:rPr>
                <w:b w:val="0"/>
                <w:sz w:val="17"/>
              </w:rPr>
              <w:t>10,805.0</w:t>
            </w:r>
          </w:p>
        </w:tc>
        <w:tc>
          <w:tcPr>
            <w:tcW w:type="dxa" w:w="1586"/>
          </w:tcPr>
          <w:p>
            <w:pPr>
              <w:autoSpaceDE w:val="0"/>
              <w:autoSpaceDN w:val="0"/>
              <w:jc w:val="right"/>
            </w:pPr>
            <w:r/>
            <w:r>
              <w:rPr>
                <w:b w:val="0"/>
                <w:sz w:val="17"/>
              </w:rPr>
              <w:t>63.03%</w:t>
            </w:r>
          </w:p>
        </w:tc>
        <w:tc>
          <w:tcPr>
            <w:tcW w:type="dxa" w:w="1586"/>
          </w:tcPr>
          <w:p>
            <w:pPr>
              <w:autoSpaceDE w:val="0"/>
              <w:autoSpaceDN w:val="0"/>
              <w:jc w:val="right"/>
            </w:pPr>
            <w:r/>
            <w:r>
              <w:rPr>
                <w:b w:val="0"/>
                <w:sz w:val="17"/>
              </w:rPr>
              <w:t>36.2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227</w:t>
            </w:r>
          </w:p>
        </w:tc>
      </w:tr>
    </w:tbl>
    <w:p/>
    <w:p>
      <w:pPr>
        <w:autoSpaceDE w:val="0"/>
        <w:autoSpaceDN w:val="0"/>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autoSpaceDE w:val="0"/>
        <w:autoSpaceDN w:val="0"/>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autoSpaceDE w:val="0"/>
        <w:autoSpaceDN w:val="0"/>
        <w:pStyle w:val="Heading1"/>
      </w:pPr>
      <w:r>
        <w:rPr>
          <w:rFonts w:ascii="맑은 고딕" w:hAnsi="맑은 고딕"/>
        </w:rPr>
        <w:t>A.3  CICS — Virtual Capacity Curve</w:t>
      </w:r>
    </w:p>
    <w:p>
      <w:pPr>
        <w:autoSpaceDE w:val="0"/>
        <w:autoSpaceDN w:val="0"/>
        <w:jc w:val="both"/>
      </w:pPr>
      <w:r>
        <w:rPr>
          <w:i w:val="0"/>
          <w:sz w:val="20"/>
        </w:rPr>
        <w:t>출처는 Radovanović 등의 논문 3절 C항, 식 (4)와 그 뒤의 제약식이다. 공개 코드가 없어 수식을 직접 옮겼다.</w:t>
      </w:r>
    </w:p>
    <w:p>
      <w:pPr>
        <w:autoSpaceDE w:val="0"/>
        <w:autoSpaceDN w:val="0"/>
        <w:spacing w:after="80"/>
        <w:ind w:left="340"/>
      </w:pPr>
      <w:r>
        <w:rPr>
          <w:rFonts w:ascii="Menlo" w:hAnsi="Menlo"/>
          <w:sz w:val="17"/>
        </w:rPr>
        <w:t>목적함수  min  λe·Σ_{c,h} η_c(h)·( Pow_c + π_c·δ(c,h)·τ_c/24 )  +  λp·Σ_c y_c</w:t>
      </w:r>
    </w:p>
    <w:p>
      <w:pPr>
        <w:autoSpaceDE w:val="0"/>
        <w:autoSpaceDN w:val="0"/>
        <w:spacing w:after="80"/>
        <w:ind w:left="340"/>
      </w:pPr>
      <w:r>
        <w:rPr>
          <w:rFonts w:ascii="Menlo" w:hAnsi="Menlo"/>
          <w:sz w:val="17"/>
        </w:rPr>
        <w:t>일일 보존   Σ_h δ(c,h) = 0     ∀c</w:t>
      </w:r>
    </w:p>
    <w:p>
      <w:pPr>
        <w:autoSpaceDE w:val="0"/>
        <w:autoSpaceDN w:val="0"/>
        <w:spacing w:after="80"/>
        <w:ind w:left="340"/>
      </w:pPr>
      <w:r>
        <w:rPr>
          <w:rFonts w:ascii="Menlo" w:hAnsi="Menlo"/>
          <w:sz w:val="17"/>
        </w:rPr>
        <w:t>첨두 정의   y_c ≥ (1+δ(c,h))·τ_c/24    ∀h</w:t>
      </w:r>
    </w:p>
    <w:p>
      <w:pPr>
        <w:autoSpaceDE w:val="0"/>
        <w:autoSpaceDN w:val="0"/>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autoSpaceDE w:val="0"/>
        <w:autoSpaceDN w:val="0"/>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autoSpaceDE w:val="0"/>
        <w:autoSpaceDN w:val="0"/>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p>
      <w:pPr>
        <w:autoSpaceDE w:val="0"/>
        <w:autoSpaceDN w:val="0"/>
        <w:spacing w:before="120" w:after="40"/>
        <w:jc w:val="center"/>
      </w:pPr>
      <w:r>
        <w:rPr>
          <w:b/>
          <w:sz w:val="17"/>
        </w:rPr>
        <w:t>표 S2. CICS와 본 연구를 같은 축에서 비교한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(홈 리전 고정, 시간 축만)</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마감 위반</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CICS Virtual Capacity Curve</w:t>
            </w:r>
          </w:p>
        </w:tc>
        <w:tc>
          <w:tcPr>
            <w:tcW w:type="dxa" w:w="1904"/>
          </w:tcPr>
          <w:p>
            <w:pPr>
              <w:autoSpaceDE w:val="0"/>
              <w:autoSpaceDN w:val="0"/>
              <w:jc w:val="right"/>
            </w:pPr>
            <w:r/>
            <w:r>
              <w:rPr>
                <w:b w:val="0"/>
                <w:sz w:val="17"/>
              </w:rPr>
              <w:t>25,203.4</w:t>
            </w:r>
          </w:p>
        </w:tc>
        <w:tc>
          <w:tcPr>
            <w:tcW w:type="dxa" w:w="1904"/>
          </w:tcPr>
          <w:p>
            <w:pPr>
              <w:autoSpaceDE w:val="0"/>
              <w:autoSpaceDN w:val="0"/>
              <w:jc w:val="right"/>
            </w:pPr>
            <w:r/>
            <w:r>
              <w:rPr>
                <w:b w:val="0"/>
                <w:sz w:val="17"/>
              </w:rPr>
              <w:t>13.76%</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0</w:t>
            </w:r>
          </w:p>
        </w:tc>
      </w:tr>
      <w:tr>
        <w:tc>
          <w:tcPr>
            <w:tcW w:type="dxa" w:w="1904"/>
          </w:tcPr>
          <w:p>
            <w:pPr>
              <w:autoSpaceDE w:val="0"/>
              <w:autoSpaceDN w:val="0"/>
            </w:pPr>
            <w:r/>
            <w:r>
              <w:rPr>
                <w:b w:val="0"/>
                <w:sz w:val="17"/>
              </w:rPr>
              <w:t>본 연구 시간 이동만</w:t>
            </w:r>
          </w:p>
        </w:tc>
        <w:tc>
          <w:tcPr>
            <w:tcW w:type="dxa" w:w="1904"/>
          </w:tcPr>
          <w:p>
            <w:pPr>
              <w:autoSpaceDE w:val="0"/>
              <w:autoSpaceDN w:val="0"/>
              <w:jc w:val="right"/>
            </w:pPr>
            <w:r/>
            <w:r>
              <w:rPr>
                <w:b w:val="0"/>
                <w:sz w:val="17"/>
              </w:rPr>
              <w:t>23,789.1</w:t>
            </w:r>
          </w:p>
        </w:tc>
        <w:tc>
          <w:tcPr>
            <w:tcW w:type="dxa" w:w="1904"/>
          </w:tcPr>
          <w:p>
            <w:pPr>
              <w:autoSpaceDE w:val="0"/>
              <w:autoSpaceDN w:val="0"/>
              <w:jc w:val="right"/>
            </w:pPr>
            <w:r/>
            <w:r>
              <w:rPr>
                <w:b w:val="0"/>
                <w:sz w:val="17"/>
              </w:rPr>
              <w:t>18.60%</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24</w:t>
            </w:r>
          </w:p>
        </w:tc>
      </w:tr>
    </w:tbl>
    <w:p/>
    <w:p>
      <w:pPr>
        <w:autoSpaceDE w:val="0"/>
        <w:autoSpaceDN w:val="0"/>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autoSpaceDE w:val="0"/>
        <w:autoSpaceDN w:val="0"/>
        <w:pStyle w:val="Heading1"/>
      </w:pPr>
      <w:r>
        <w:rPr>
          <w:rFonts w:ascii="맑은 고딕" w:hAnsi="맑은 고딕"/>
        </w:rPr>
        <w:t>A.4  Sukprasert — 공개 아티팩트의 탐색 알고리즘</w:t>
      </w:r>
    </w:p>
    <w:p>
      <w:pPr>
        <w:autoSpaceDE w:val="0"/>
        <w:autoSpaceDN w:val="0"/>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autoSpaceDE w:val="0"/>
        <w:autoSpaceDN w:val="0"/>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w:t>
      </w:r>
    </w:p>
    <w:p>
      <w:pPr>
        <w:autoSpaceDE w:val="0"/>
        <w:autoSpaceDN w:val="0"/>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p>
      <w:pPr>
        <w:autoSpaceDE w:val="0"/>
        <w:autoSpaceDN w:val="0"/>
        <w:spacing w:before="120" w:after="40"/>
        <w:jc w:val="center"/>
      </w:pPr>
      <w:r>
        <w:rPr>
          <w:b/>
          <w:sz w:val="17"/>
        </w:rPr>
        <w:t>표 S3. Sukprasert 알고리즘을 본 연구 데이터에 적용한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(완전예지, 용량 무제약)</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평균 지연</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시간 이동만</w:t>
            </w:r>
          </w:p>
        </w:tc>
        <w:tc>
          <w:tcPr>
            <w:tcW w:type="dxa" w:w="1904"/>
          </w:tcPr>
          <w:p>
            <w:pPr>
              <w:autoSpaceDE w:val="0"/>
              <w:autoSpaceDN w:val="0"/>
              <w:jc w:val="right"/>
            </w:pPr>
            <w:r/>
            <w:r>
              <w:rPr>
                <w:b w:val="0"/>
                <w:sz w:val="17"/>
              </w:rPr>
              <w:t>9,583.6</w:t>
            </w:r>
          </w:p>
        </w:tc>
        <w:tc>
          <w:tcPr>
            <w:tcW w:type="dxa" w:w="1904"/>
          </w:tcPr>
          <w:p>
            <w:pPr>
              <w:autoSpaceDE w:val="0"/>
              <w:autoSpaceDN w:val="0"/>
              <w:jc w:val="right"/>
            </w:pPr>
            <w:r/>
            <w:r>
              <w:rPr>
                <w:b w:val="0"/>
                <w:sz w:val="17"/>
              </w:rPr>
              <w:t>67.21%</w:t>
            </w:r>
          </w:p>
        </w:tc>
        <w:tc>
          <w:tcPr>
            <w:tcW w:type="dxa" w:w="1904"/>
          </w:tcPr>
          <w:p>
            <w:pPr>
              <w:autoSpaceDE w:val="0"/>
              <w:autoSpaceDN w:val="0"/>
              <w:jc w:val="right"/>
            </w:pPr>
            <w:r/>
            <w:r>
              <w:rPr>
                <w:b w:val="0"/>
                <w:sz w:val="17"/>
              </w:rPr>
              <w:t>36.2 ms</w:t>
            </w:r>
          </w:p>
        </w:tc>
        <w:tc>
          <w:tcPr>
            <w:tcW w:type="dxa" w:w="1904"/>
          </w:tcPr>
          <w:p>
            <w:pPr>
              <w:autoSpaceDE w:val="0"/>
              <w:autoSpaceDN w:val="0"/>
              <w:jc w:val="right"/>
            </w:pPr>
            <w:r/>
            <w:r>
              <w:rPr>
                <w:b w:val="0"/>
                <w:sz w:val="17"/>
              </w:rPr>
              <w:t>49,356</w:t>
            </w:r>
          </w:p>
        </w:tc>
      </w:tr>
      <w:tr>
        <w:tc>
          <w:tcPr>
            <w:tcW w:type="dxa" w:w="1904"/>
          </w:tcPr>
          <w:p>
            <w:pPr>
              <w:autoSpaceDE w:val="0"/>
              <w:autoSpaceDN w:val="0"/>
            </w:pPr>
            <w:r/>
            <w:r>
              <w:rPr>
                <w:b w:val="0"/>
                <w:sz w:val="17"/>
              </w:rPr>
              <w:t>공간 + 시간</w:t>
            </w:r>
          </w:p>
        </w:tc>
        <w:tc>
          <w:tcPr>
            <w:tcW w:type="dxa" w:w="1904"/>
          </w:tcPr>
          <w:p>
            <w:pPr>
              <w:autoSpaceDE w:val="0"/>
              <w:autoSpaceDN w:val="0"/>
              <w:jc w:val="right"/>
            </w:pPr>
            <w:r/>
            <w:r>
              <w:rPr>
                <w:b w:val="0"/>
                <w:sz w:val="17"/>
              </w:rPr>
              <w:t>990.8</w:t>
            </w:r>
          </w:p>
        </w:tc>
        <w:tc>
          <w:tcPr>
            <w:tcW w:type="dxa" w:w="1904"/>
          </w:tcPr>
          <w:p>
            <w:pPr>
              <w:autoSpaceDE w:val="0"/>
              <w:autoSpaceDN w:val="0"/>
              <w:jc w:val="right"/>
            </w:pPr>
            <w:r/>
            <w:r>
              <w:rPr>
                <w:b w:val="0"/>
                <w:sz w:val="17"/>
              </w:rPr>
              <w:t>96.61%</w:t>
            </w:r>
          </w:p>
        </w:tc>
        <w:tc>
          <w:tcPr>
            <w:tcW w:type="dxa" w:w="1904"/>
          </w:tcPr>
          <w:p>
            <w:pPr>
              <w:autoSpaceDE w:val="0"/>
              <w:autoSpaceDN w:val="0"/>
              <w:jc w:val="right"/>
            </w:pPr>
            <w:r/>
            <w:r>
              <w:rPr>
                <w:b w:val="0"/>
                <w:sz w:val="17"/>
              </w:rPr>
              <w:t>120.4 ms</w:t>
            </w:r>
          </w:p>
        </w:tc>
        <w:tc>
          <w:tcPr>
            <w:tcW w:type="dxa" w:w="1904"/>
          </w:tcPr>
          <w:p>
            <w:pPr>
              <w:autoSpaceDE w:val="0"/>
              <w:autoSpaceDN w:val="0"/>
              <w:jc w:val="right"/>
            </w:pPr>
            <w:r/>
            <w:r>
              <w:rPr>
                <w:b w:val="0"/>
                <w:sz w:val="17"/>
              </w:rPr>
              <w:t>120,186</w:t>
            </w:r>
          </w:p>
        </w:tc>
      </w:tr>
    </w:tbl>
    <w:p/>
    <w:p>
      <w:pPr>
        <w:autoSpaceDE w:val="0"/>
        <w:autoSpaceDN w:val="0"/>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autoSpaceDE w:val="0"/>
        <w:autoSpaceDN w:val="0"/>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autoSpaceDE w:val="0"/>
        <w:autoSpaceDN w:val="0"/>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autoSpaceDE w:val="0"/>
        <w:autoSpaceDN w:val="0"/>
        <w:pStyle w:val="Heading1"/>
      </w:pPr>
      <w:r>
        <w:rPr>
          <w:rFonts w:ascii="맑은 고딕" w:hAnsi="맑은 고딕"/>
        </w:rPr>
        <w:t>A.5  Caspian — 원문 정수 계획 정식화</w:t>
      </w:r>
    </w:p>
    <w:p>
      <w:pPr>
        <w:autoSpaceDE w:val="0"/>
        <w:autoSpaceDN w:val="0"/>
        <w:jc w:val="both"/>
      </w:pPr>
      <w:r>
        <w:rPr>
          <w:i w:val="0"/>
          <w:sz w:val="20"/>
        </w:rPr>
        <w:t>Caspian 은 공개 코드가 없어 논문의 수식이 유일한 원본이다. 아래는 원문 2절의 정식화를 번호까지 그대로 옮긴 것이다.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Z1(x) = Σ_j Σ_t [ Σ_i Σ_{t'∈Δ^t_i} x^t'_ij · r_i ] / (C_j^t · I_j^t · ρ_j)   … (1)</w:t>
      </w:r>
    </w:p>
    <w:p>
      <w:pPr>
        <w:autoSpaceDE w:val="0"/>
        <w:autoSpaceDN w:val="0"/>
        <w:jc w:val="both"/>
      </w:pPr>
      <w:r>
        <w:rPr>
          <w:i w:val="0"/>
          <w:sz w:val="20"/>
        </w:rPr>
        <w:t>탄소 항 — 자원 점유를 그 슬롯의 탄소집약도로 나눈다. 깨끗하고 여유 있는 클러스터에 놓을수록 커진다.</w:t>
      </w:r>
    </w:p>
    <w:p>
      <w:pPr>
        <w:autoSpaceDE w:val="0"/>
        <w:autoSpaceDN w:val="0"/>
        <w:spacing w:after="80"/>
        <w:ind w:left="340"/>
      </w:pPr>
      <w:r>
        <w:rPr>
          <w:rFonts w:ascii="Menlo" w:hAnsi="Menlo"/>
          <w:sz w:val="17"/>
        </w:rPr>
        <w:t>Z2(x) = Σ_i Σ_j Σ_t x^t_ij / γ(i,t),   γ(i,t) = max(1, l_i + t − d_i)        … (2)</w:t>
      </w:r>
    </w:p>
    <w:p>
      <w:pPr>
        <w:autoSpaceDE w:val="0"/>
        <w:autoSpaceDN w:val="0"/>
        <w:jc w:val="both"/>
      </w:pPr>
      <w:r>
        <w:rPr>
          <w:i w:val="0"/>
          <w:sz w:val="20"/>
        </w:rPr>
        <w:t>마감 항 — 마감을 넘긴 정도로 나눈다. 늦을수록 작아지므로 마감은 하드 제약이 아니라 목적함수의 페널티다.</w:t>
      </w:r>
    </w:p>
    <w:p>
      <w:pPr>
        <w:autoSpaceDE w:val="0"/>
        <w:autoSpaceDN w:val="0"/>
        <w:spacing w:after="80"/>
        <w:ind w:left="340"/>
      </w:pPr>
      <w:r>
        <w:rPr>
          <w:rFonts w:ascii="Menlo" w:hAnsi="Menlo"/>
          <w:sz w:val="17"/>
        </w:rPr>
        <w:t>Z3(x) = Σ_i Σ_j Σ_t x^t_ij / λ(i,t),   λ(i,t) = t + l_i                       … (3)</w:t>
      </w:r>
    </w:p>
    <w:p>
      <w:pPr>
        <w:autoSpaceDE w:val="0"/>
        <w:autoSpaceDN w:val="0"/>
        <w:jc w:val="both"/>
      </w:pPr>
      <w:r>
        <w:rPr>
          <w:i w:val="0"/>
          <w:sz w:val="20"/>
        </w:rPr>
        <w:t>완료 시각 항 — 늦게 끝날수록 작아진다. 같은 조건이면 일찍 끝내는 쪽을 고른다.</w:t>
      </w:r>
    </w:p>
    <w:p>
      <w:pPr>
        <w:autoSpaceDE w:val="0"/>
        <w:autoSpaceDN w:val="0"/>
        <w:spacing w:after="80"/>
        <w:ind w:left="340"/>
      </w:pPr>
      <w:r>
        <w:rPr>
          <w:rFonts w:ascii="Menlo" w:hAnsi="Menlo"/>
          <w:sz w:val="17"/>
        </w:rPr>
        <w:t>max  Z(x) = ω̄1·Z1 + ω̄2·Z2 + ω̄3·Z3,   ω̄_k = ω_k / θ_k,  θ_k = 1/Z̄_k       … (4)</w:t>
      </w:r>
    </w:p>
    <w:p>
      <w:pPr>
        <w:autoSpaceDE w:val="0"/>
        <w:autoSpaceDN w:val="0"/>
        <w:spacing w:after="80"/>
        <w:ind w:left="340"/>
      </w:pPr>
      <w:r>
        <w:rPr>
          <w:rFonts w:ascii="Menlo" w:hAnsi="Menlo"/>
          <w:sz w:val="17"/>
        </w:rPr>
        <w:t>s.t.  Σ_i Σ_{t'∈Δ^t_i} x^t'_ij · r_i ≤ C_j^t   ∀j,t      … (5)  용량 — 하드</w:t>
      </w:r>
    </w:p>
    <w:p>
      <w:pPr>
        <w:autoSpaceDE w:val="0"/>
        <w:autoSpaceDN w:val="0"/>
        <w:spacing w:after="80"/>
        <w:ind w:left="340"/>
      </w:pPr>
      <w:r>
        <w:rPr>
          <w:rFonts w:ascii="Menlo" w:hAnsi="Menlo"/>
          <w:sz w:val="17"/>
        </w:rPr>
        <w:t xml:space="preserve">      Σ_j Σ_t x^t_ij ≤ 1   ∀i                            … (6)  최대 1회</w:t>
      </w:r>
    </w:p>
    <w:p>
      <w:pPr>
        <w:autoSpaceDE w:val="0"/>
        <w:autoSpaceDN w:val="0"/>
        <w:spacing w:after="80"/>
        <w:ind w:left="340"/>
      </w:pPr>
      <w:r>
        <w:rPr>
          <w:rFonts w:ascii="Menlo" w:hAnsi="Menlo"/>
          <w:sz w:val="17"/>
        </w:rPr>
        <w:t xml:space="preserve">      x^t_ij ≤ a_ij   ∀i,j,t                             … (7)  적합성</w:t>
      </w:r>
    </w:p>
    <w:p>
      <w:pPr>
        <w:autoSpaceDE w:val="0"/>
        <w:autoSpaceDN w:val="0"/>
        <w:spacing w:after="80"/>
        <w:ind w:left="340"/>
      </w:pPr>
      <w:r>
        <w:rPr>
          <w:rFonts w:ascii="Menlo" w:hAnsi="Menlo"/>
          <w:sz w:val="17"/>
        </w:rPr>
        <w:t xml:space="preserve">      x^t_ij ∈ {0,1}                                      … (8)</w:t>
      </w:r>
    </w:p>
    <w:p>
      <w:pPr>
        <w:autoSpaceDE w:val="0"/>
        <w:autoSpaceDN w:val="0"/>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autoSpaceDE w:val="0"/>
        <w:autoSpaceDN w:val="0"/>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autoSpaceDE w:val="0"/>
        <w:autoSpaceDN w:val="0"/>
        <w:pStyle w:val="Heading2"/>
      </w:pPr>
      <w:r>
        <w:rPr>
          <w:rFonts w:ascii="맑은 고딕" w:hAnsi="맑은 고딕"/>
        </w:rPr>
        <w:t>우리 데이터로 옮기며 내린 판단</w:t>
      </w:r>
    </w:p>
    <w:p>
      <w:pPr>
        <w:autoSpaceDE w:val="0"/>
        <w:autoSpaceDN w:val="0"/>
        <w:spacing w:before="120" w:after="40"/>
        <w:jc w:val="center"/>
      </w:pPr>
      <w:r>
        <w:rPr>
          <w:b/>
          <w:sz w:val="17"/>
        </w:rPr>
        <w:t>표 S4. Caspian 정식화를 본 연구 데이터에 대응시킨 내역</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항목</w:t>
            </w:r>
          </w:p>
        </w:tc>
        <w:tc>
          <w:tcPr>
            <w:tcW w:type="dxa" w:w="3173"/>
          </w:tcPr>
          <w:p>
            <w:pPr>
              <w:autoSpaceDE w:val="0"/>
              <w:autoSpaceDN w:val="0"/>
            </w:pPr>
            <w:r/>
            <w:r>
              <w:rPr>
                <w:b/>
                <w:sz w:val="17"/>
              </w:rPr>
              <w:t>값</w:t>
            </w:r>
          </w:p>
        </w:tc>
        <w:tc>
          <w:tcPr>
            <w:tcW w:type="dxa" w:w="3173"/>
          </w:tcPr>
          <w:p>
            <w:pPr>
              <w:autoSpaceDE w:val="0"/>
              <w:autoSpaceDN w:val="0"/>
            </w:pPr>
            <w:r/>
            <w:r>
              <w:rPr>
                <w:b/>
                <w:sz w:val="17"/>
              </w:rPr>
              <w:t>근거</w:t>
            </w:r>
          </w:p>
        </w:tc>
      </w:tr>
      <w:tr>
        <w:tc>
          <w:tcPr>
            <w:tcW w:type="dxa" w:w="3173"/>
          </w:tcPr>
          <w:p>
            <w:pPr>
              <w:autoSpaceDE w:val="0"/>
              <w:autoSpaceDN w:val="0"/>
            </w:pPr>
            <w:r/>
            <w:r>
              <w:rPr>
                <w:b w:val="0"/>
                <w:sz w:val="17"/>
              </w:rPr>
              <w:t>N · M · T · δ</w:t>
            </w:r>
          </w:p>
        </w:tc>
        <w:tc>
          <w:tcPr>
            <w:tcW w:type="dxa" w:w="3173"/>
          </w:tcPr>
          <w:p>
            <w:pPr>
              <w:autoSpaceDE w:val="0"/>
              <w:autoSpaceDN w:val="0"/>
            </w:pPr>
            <w:r/>
            <w:r>
              <w:rPr>
                <w:b w:val="0"/>
                <w:sz w:val="17"/>
              </w:rPr>
              <w:t>146,000 · 8 · 24 · 1시간</w:t>
            </w:r>
          </w:p>
        </w:tc>
        <w:tc>
          <w:tcPr>
            <w:tcW w:type="dxa" w:w="3173"/>
          </w:tcPr>
          <w:p>
            <w:pPr>
              <w:autoSpaceDE w:val="0"/>
              <w:autoSpaceDN w:val="0"/>
            </w:pPr>
            <w:r/>
            <w:r>
              <w:rPr>
                <w:b w:val="0"/>
                <w:sz w:val="17"/>
              </w:rPr>
              <w:t>본 연구 예측 지평·슬롯과 통일</w:t>
            </w:r>
          </w:p>
        </w:tc>
      </w:tr>
      <w:tr>
        <w:tc>
          <w:tcPr>
            <w:tcW w:type="dxa" w:w="3173"/>
          </w:tcPr>
          <w:p>
            <w:pPr>
              <w:autoSpaceDE w:val="0"/>
              <w:autoSpaceDN w:val="0"/>
            </w:pPr>
            <w:r/>
            <w:r>
              <w:rPr>
                <w:b w:val="0"/>
                <w:sz w:val="17"/>
              </w:rPr>
              <w:t>a_ij</w:t>
            </w:r>
          </w:p>
        </w:tc>
        <w:tc>
          <w:tcPr>
            <w:tcW w:type="dxa" w:w="3173"/>
          </w:tcPr>
          <w:p>
            <w:pPr>
              <w:autoSpaceDE w:val="0"/>
              <w:autoSpaceDN w:val="0"/>
            </w:pPr>
            <w:r/>
            <w:r>
              <w:rPr>
                <w:b w:val="0"/>
                <w:sz w:val="17"/>
              </w:rPr>
              <w:t>1 (전 리전 허용)</w:t>
            </w:r>
          </w:p>
        </w:tc>
        <w:tc>
          <w:tcPr>
            <w:tcW w:type="dxa" w:w="3173"/>
          </w:tcPr>
          <w:p>
            <w:pPr>
              <w:autoSpaceDE w:val="0"/>
              <w:autoSpaceDN w:val="0"/>
            </w:pPr>
            <w:r/>
            <w:r>
              <w:rPr>
                <w:b w:val="0"/>
                <w:sz w:val="17"/>
              </w:rPr>
              <w:t>본 연구 기본 설정과 통일</w:t>
            </w:r>
          </w:p>
        </w:tc>
      </w:tr>
      <w:tr>
        <w:tc>
          <w:tcPr>
            <w:tcW w:type="dxa" w:w="3173"/>
          </w:tcPr>
          <w:p>
            <w:pPr>
              <w:autoSpaceDE w:val="0"/>
              <w:autoSpaceDN w:val="0"/>
            </w:pPr>
            <w:r/>
            <w:r>
              <w:rPr>
                <w:b w:val="0"/>
                <w:sz w:val="17"/>
              </w:rPr>
              <w:t>r_i · C_j^t</w:t>
            </w:r>
          </w:p>
        </w:tc>
        <w:tc>
          <w:tcPr>
            <w:tcW w:type="dxa" w:w="3173"/>
          </w:tcPr>
          <w:p>
            <w:pPr>
              <w:autoSpaceDE w:val="0"/>
              <w:autoSpaceDN w:val="0"/>
            </w:pPr>
            <w:r/>
            <w:r>
              <w:rPr>
                <w:b w:val="0"/>
                <w:sz w:val="17"/>
              </w:rPr>
              <w:t>1 · K_r = 12</w:t>
            </w:r>
          </w:p>
        </w:tc>
        <w:tc>
          <w:tcPr>
            <w:tcW w:type="dxa" w:w="3173"/>
          </w:tcPr>
          <w:p>
            <w:pPr>
              <w:autoSpaceDE w:val="0"/>
              <w:autoSpaceDN w:val="0"/>
            </w:pPr>
            <w:r/>
            <w:r>
              <w:rPr>
                <w:b w:val="0"/>
                <w:sz w:val="17"/>
              </w:rPr>
              <w:t>본 연구 용량이 동시 실행 수라 식 (5)가 식 (3)과 같아짐</w:t>
            </w:r>
          </w:p>
        </w:tc>
      </w:tr>
      <w:tr>
        <w:tc>
          <w:tcPr>
            <w:tcW w:type="dxa" w:w="3173"/>
          </w:tcPr>
          <w:p>
            <w:pPr>
              <w:autoSpaceDE w:val="0"/>
              <w:autoSpaceDN w:val="0"/>
            </w:pPr>
            <w:r/>
            <w:r>
              <w:rPr>
                <w:b w:val="0"/>
                <w:sz w:val="17"/>
              </w:rPr>
              <w:t>ρ_j</w:t>
            </w:r>
          </w:p>
        </w:tc>
        <w:tc>
          <w:tcPr>
            <w:tcW w:type="dxa" w:w="3173"/>
          </w:tcPr>
          <w:p>
            <w:pPr>
              <w:autoSpaceDE w:val="0"/>
              <w:autoSpaceDN w:val="0"/>
            </w:pPr>
            <w:r/>
            <w:r>
              <w:rPr>
                <w:b w:val="0"/>
                <w:sz w:val="17"/>
              </w:rPr>
              <w:t>1</w:t>
            </w:r>
          </w:p>
        </w:tc>
        <w:tc>
          <w:tcPr>
            <w:tcW w:type="dxa" w:w="3173"/>
          </w:tcPr>
          <w:p>
            <w:pPr>
              <w:autoSpaceDE w:val="0"/>
              <w:autoSpaceDN w:val="0"/>
            </w:pPr>
            <w:r/>
            <w:r>
              <w:rPr>
                <w:b w:val="0"/>
                <w:sz w:val="17"/>
              </w:rPr>
              <w:t>리전별 전력 효율 자료 없음. 원문도 실측이 아닌 가정</w:t>
            </w:r>
          </w:p>
        </w:tc>
      </w:tr>
      <w:tr>
        <w:tc>
          <w:tcPr>
            <w:tcW w:type="dxa" w:w="3173"/>
          </w:tcPr>
          <w:p>
            <w:pPr>
              <w:autoSpaceDE w:val="0"/>
              <w:autoSpaceDN w:val="0"/>
            </w:pPr>
            <w:r/>
            <w:r>
              <w:rPr>
                <w:b w:val="0"/>
                <w:sz w:val="17"/>
              </w:rPr>
              <w:t>I_j^t</w:t>
            </w:r>
          </w:p>
        </w:tc>
        <w:tc>
          <w:tcPr>
            <w:tcW w:type="dxa" w:w="3173"/>
          </w:tcPr>
          <w:p>
            <w:pPr>
              <w:autoSpaceDE w:val="0"/>
              <w:autoSpaceDN w:val="0"/>
            </w:pPr>
            <w:r/>
            <w:r>
              <w:rPr>
                <w:b w:val="0"/>
                <w:sz w:val="17"/>
              </w:rPr>
              <w:t>LSTM 예측</w:t>
            </w:r>
          </w:p>
        </w:tc>
        <w:tc>
          <w:tcPr>
            <w:tcW w:type="dxa" w:w="3173"/>
          </w:tcPr>
          <w:p>
            <w:pPr>
              <w:autoSpaceDE w:val="0"/>
              <w:autoSpaceDN w:val="0"/>
            </w:pPr>
            <w:r/>
            <w:r>
              <w:rPr>
                <w:b w:val="0"/>
                <w:sz w:val="17"/>
              </w:rPr>
              <w:t>예측으로 결정하고 실측으로 채점하는 원칙과 통일</w:t>
            </w:r>
          </w:p>
        </w:tc>
      </w:tr>
      <w:tr>
        <w:tc>
          <w:tcPr>
            <w:tcW w:type="dxa" w:w="3173"/>
          </w:tcPr>
          <w:p>
            <w:pPr>
              <w:autoSpaceDE w:val="0"/>
              <w:autoSpaceDN w:val="0"/>
            </w:pPr>
            <w:r/>
            <w:r>
              <w:rPr>
                <w:b w:val="0"/>
                <w:sz w:val="17"/>
              </w:rPr>
              <w:t>ω</w:t>
            </w:r>
          </w:p>
        </w:tc>
        <w:tc>
          <w:tcPr>
            <w:tcW w:type="dxa" w:w="3173"/>
          </w:tcPr>
          <w:p>
            <w:pPr>
              <w:autoSpaceDE w:val="0"/>
              <w:autoSpaceDN w:val="0"/>
            </w:pPr>
            <w:r/>
            <w:r>
              <w:rPr>
                <w:b w:val="0"/>
                <w:sz w:val="17"/>
              </w:rPr>
              <w:t>원문 5절이 시험한 값</w:t>
            </w:r>
          </w:p>
        </w:tc>
        <w:tc>
          <w:tcPr>
            <w:tcW w:type="dxa" w:w="3173"/>
          </w:tcPr>
          <w:p>
            <w:pPr>
              <w:autoSpaceDE w:val="0"/>
              <w:autoSpaceDN w:val="0"/>
            </w:pPr>
            <w:r/>
            <w:r>
              <w:rPr>
                <w:b w:val="0"/>
                <w:sz w:val="17"/>
              </w:rPr>
              <w:t>임의로 고르면 재현 충실도를 공격받는다</w:t>
            </w:r>
          </w:p>
        </w:tc>
      </w:tr>
    </w:tbl>
    <w:p/>
    <w:p>
      <w:pPr>
        <w:autoSpaceDE w:val="0"/>
        <w:autoSpaceDN w:val="0"/>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autoSpaceDE w:val="0"/>
        <w:autoSpaceDN w:val="0"/>
        <w:pStyle w:val="Heading2"/>
      </w:pPr>
      <w:r>
        <w:rPr>
          <w:rFonts w:ascii="맑은 고딕" w:hAnsi="맑은 고딕"/>
        </w:rPr>
        <w:t>슬롯 해상도가 만드는 한계</w:t>
      </w:r>
    </w:p>
    <w:p>
      <w:pPr>
        <w:autoSpaceDE w:val="0"/>
        <w:autoSpaceDN w:val="0"/>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p>
      <w:pPr>
        <w:autoSpaceDE w:val="0"/>
        <w:autoSpaceDN w:val="0"/>
        <w:spacing w:before="120" w:after="40"/>
        <w:jc w:val="center"/>
      </w:pPr>
      <w:r>
        <w:rPr>
          <w:b/>
          <w:sz w:val="17"/>
        </w:rPr>
        <w:t>표 S5. 슬롯 올림이 만드는 점유 부풀림 — k=3 이하가 전체의 60.1%다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지연 등급</w:t>
            </w:r>
          </w:p>
        </w:tc>
        <w:tc>
          <w:tcPr>
            <w:tcW w:type="dxa" w:w="2379"/>
          </w:tcPr>
          <w:p>
            <w:pPr>
              <w:autoSpaceDE w:val="0"/>
              <w:autoSpaceDN w:val="0"/>
              <w:jc w:val="right"/>
            </w:pPr>
            <w:r/>
            <w:r>
              <w:rPr>
                <w:b/>
                <w:sz w:val="17"/>
              </w:rPr>
              <w:t>건수</w:t>
            </w:r>
          </w:p>
        </w:tc>
        <w:tc>
          <w:tcPr>
            <w:tcW w:type="dxa" w:w="2379"/>
          </w:tcPr>
          <w:p>
            <w:pPr>
              <w:autoSpaceDE w:val="0"/>
              <w:autoSpaceDN w:val="0"/>
            </w:pPr>
            <w:r/>
            <w:r>
              <w:rPr>
                <w:b/>
                <w:sz w:val="17"/>
              </w:rPr>
              <w:t>평균 실행 시간</w:t>
            </w:r>
          </w:p>
        </w:tc>
        <w:tc>
          <w:tcPr>
            <w:tcW w:type="dxa" w:w="2379"/>
          </w:tcPr>
          <w:p>
            <w:pPr>
              <w:autoSpaceDE w:val="0"/>
              <w:autoSpaceDN w:val="0"/>
              <w:jc w:val="right"/>
            </w:pPr>
            <w:r/>
            <w:r>
              <w:rPr>
                <w:b/>
                <w:sz w:val="17"/>
              </w:rPr>
              <w:t>올림 배율</w:t>
            </w:r>
          </w:p>
        </w:tc>
      </w:tr>
      <w:tr>
        <w:tc>
          <w:tcPr>
            <w:tcW w:type="dxa" w:w="2379"/>
          </w:tcPr>
          <w:p>
            <w:pPr>
              <w:autoSpaceDE w:val="0"/>
              <w:autoSpaceDN w:val="0"/>
            </w:pPr>
            <w:r/>
            <w:r>
              <w:rPr>
                <w:b w:val="0"/>
                <w:sz w:val="17"/>
              </w:rPr>
              <w:t>k=1</w:t>
            </w:r>
          </w:p>
        </w:tc>
        <w:tc>
          <w:tcPr>
            <w:tcW w:type="dxa" w:w="2379"/>
          </w:tcPr>
          <w:p>
            <w:pPr>
              <w:autoSpaceDE w:val="0"/>
              <w:autoSpaceDN w:val="0"/>
              <w:jc w:val="right"/>
            </w:pPr>
            <w:r/>
            <w:r>
              <w:rPr>
                <w:b w:val="0"/>
                <w:sz w:val="17"/>
              </w:rPr>
              <w:t>43,830</w:t>
            </w:r>
          </w:p>
        </w:tc>
        <w:tc>
          <w:tcPr>
            <w:tcW w:type="dxa" w:w="2379"/>
          </w:tcPr>
          <w:p>
            <w:pPr>
              <w:autoSpaceDE w:val="0"/>
              <w:autoSpaceDN w:val="0"/>
            </w:pPr>
            <w:r/>
            <w:r>
              <w:rPr>
                <w:b w:val="0"/>
                <w:sz w:val="17"/>
              </w:rPr>
              <w:t>2.03 시간</w:t>
            </w:r>
          </w:p>
        </w:tc>
        <w:tc>
          <w:tcPr>
            <w:tcW w:type="dxa" w:w="2379"/>
          </w:tcPr>
          <w:p>
            <w:pPr>
              <w:autoSpaceDE w:val="0"/>
              <w:autoSpaceDN w:val="0"/>
              <w:jc w:val="right"/>
            </w:pPr>
            <w:r/>
            <w:r>
              <w:rPr>
                <w:b w:val="0"/>
                <w:sz w:val="17"/>
              </w:rPr>
              <w:t>1.23배</w:t>
            </w:r>
          </w:p>
        </w:tc>
      </w:tr>
      <w:tr>
        <w:tc>
          <w:tcPr>
            <w:tcW w:type="dxa" w:w="2379"/>
          </w:tcPr>
          <w:p>
            <w:pPr>
              <w:autoSpaceDE w:val="0"/>
              <w:autoSpaceDN w:val="0"/>
            </w:pPr>
            <w:r/>
            <w:r>
              <w:rPr>
                <w:b w:val="0"/>
                <w:sz w:val="17"/>
              </w:rPr>
              <w:t>k=2</w:t>
            </w:r>
          </w:p>
        </w:tc>
        <w:tc>
          <w:tcPr>
            <w:tcW w:type="dxa" w:w="2379"/>
          </w:tcPr>
          <w:p>
            <w:pPr>
              <w:autoSpaceDE w:val="0"/>
              <w:autoSpaceDN w:val="0"/>
              <w:jc w:val="right"/>
            </w:pPr>
            <w:r/>
            <w:r>
              <w:rPr>
                <w:b w:val="0"/>
                <w:sz w:val="17"/>
              </w:rPr>
              <w:t>14,458</w:t>
            </w:r>
          </w:p>
        </w:tc>
        <w:tc>
          <w:tcPr>
            <w:tcW w:type="dxa" w:w="2379"/>
          </w:tcPr>
          <w:p>
            <w:pPr>
              <w:autoSpaceDE w:val="0"/>
              <w:autoSpaceDN w:val="0"/>
            </w:pPr>
            <w:r/>
            <w:r>
              <w:rPr>
                <w:b w:val="0"/>
                <w:sz w:val="17"/>
              </w:rPr>
              <w:t>0.72 시간</w:t>
            </w:r>
          </w:p>
        </w:tc>
        <w:tc>
          <w:tcPr>
            <w:tcW w:type="dxa" w:w="2379"/>
          </w:tcPr>
          <w:p>
            <w:pPr>
              <w:autoSpaceDE w:val="0"/>
              <w:autoSpaceDN w:val="0"/>
              <w:jc w:val="right"/>
            </w:pPr>
            <w:r/>
            <w:r>
              <w:rPr>
                <w:b w:val="0"/>
                <w:sz w:val="17"/>
              </w:rPr>
              <w:t>1.81배</w:t>
            </w:r>
          </w:p>
        </w:tc>
      </w:tr>
      <w:tr>
        <w:tc>
          <w:tcPr>
            <w:tcW w:type="dxa" w:w="2379"/>
          </w:tcPr>
          <w:p>
            <w:pPr>
              <w:autoSpaceDE w:val="0"/>
              <w:autoSpaceDN w:val="0"/>
            </w:pPr>
            <w:r/>
            <w:r>
              <w:rPr>
                <w:b w:val="0"/>
                <w:sz w:val="17"/>
              </w:rPr>
              <w:t>k=3</w:t>
            </w:r>
          </w:p>
        </w:tc>
        <w:tc>
          <w:tcPr>
            <w:tcW w:type="dxa" w:w="2379"/>
          </w:tcPr>
          <w:p>
            <w:pPr>
              <w:autoSpaceDE w:val="0"/>
              <w:autoSpaceDN w:val="0"/>
              <w:jc w:val="right"/>
            </w:pPr>
            <w:r/>
            <w:r>
              <w:rPr>
                <w:b w:val="0"/>
                <w:sz w:val="17"/>
              </w:rPr>
              <w:t>14,716</w:t>
            </w:r>
          </w:p>
        </w:tc>
        <w:tc>
          <w:tcPr>
            <w:tcW w:type="dxa" w:w="2379"/>
          </w:tcPr>
          <w:p>
            <w:pPr>
              <w:autoSpaceDE w:val="0"/>
              <w:autoSpaceDN w:val="0"/>
            </w:pPr>
            <w:r/>
            <w:r>
              <w:rPr>
                <w:b w:val="0"/>
                <w:sz w:val="17"/>
              </w:rPr>
              <w:t>4.1 분</w:t>
            </w:r>
          </w:p>
        </w:tc>
        <w:tc>
          <w:tcPr>
            <w:tcW w:type="dxa" w:w="2379"/>
          </w:tcPr>
          <w:p>
            <w:pPr>
              <w:autoSpaceDE w:val="0"/>
              <w:autoSpaceDN w:val="0"/>
              <w:jc w:val="right"/>
            </w:pPr>
            <w:r/>
            <w:r>
              <w:rPr>
                <w:b w:val="0"/>
                <w:sz w:val="17"/>
              </w:rPr>
              <w:t>14.68배</w:t>
            </w:r>
          </w:p>
        </w:tc>
      </w:tr>
      <w:tr>
        <w:tc>
          <w:tcPr>
            <w:tcW w:type="dxa" w:w="2379"/>
          </w:tcPr>
          <w:p>
            <w:pPr>
              <w:autoSpaceDE w:val="0"/>
              <w:autoSpaceDN w:val="0"/>
            </w:pPr>
            <w:r/>
            <w:r>
              <w:rPr>
                <w:b w:val="0"/>
                <w:sz w:val="17"/>
              </w:rPr>
              <w:t>k=4</w:t>
            </w:r>
          </w:p>
        </w:tc>
        <w:tc>
          <w:tcPr>
            <w:tcW w:type="dxa" w:w="2379"/>
          </w:tcPr>
          <w:p>
            <w:pPr>
              <w:autoSpaceDE w:val="0"/>
              <w:autoSpaceDN w:val="0"/>
              <w:jc w:val="right"/>
            </w:pPr>
            <w:r/>
            <w:r>
              <w:rPr>
                <w:b w:val="0"/>
                <w:sz w:val="17"/>
              </w:rPr>
              <w:t>29,244</w:t>
            </w:r>
          </w:p>
        </w:tc>
        <w:tc>
          <w:tcPr>
            <w:tcW w:type="dxa" w:w="2379"/>
          </w:tcPr>
          <w:p>
            <w:pPr>
              <w:autoSpaceDE w:val="0"/>
              <w:autoSpaceDN w:val="0"/>
            </w:pPr>
            <w:r/>
            <w:r>
              <w:rPr>
                <w:b w:val="0"/>
                <w:sz w:val="17"/>
              </w:rPr>
              <w:t>38 초</w:t>
            </w:r>
          </w:p>
        </w:tc>
        <w:tc>
          <w:tcPr>
            <w:tcW w:type="dxa" w:w="2379"/>
          </w:tcPr>
          <w:p>
            <w:pPr>
              <w:autoSpaceDE w:val="0"/>
              <w:autoSpaceDN w:val="0"/>
              <w:jc w:val="right"/>
            </w:pPr>
            <w:r/>
            <w:r>
              <w:rPr>
                <w:b w:val="0"/>
                <w:sz w:val="17"/>
              </w:rPr>
              <w:t>93.80배</w:t>
            </w:r>
          </w:p>
        </w:tc>
      </w:tr>
      <w:tr>
        <w:tc>
          <w:tcPr>
            <w:tcW w:type="dxa" w:w="2379"/>
          </w:tcPr>
          <w:p>
            <w:pPr>
              <w:autoSpaceDE w:val="0"/>
              <w:autoSpaceDN w:val="0"/>
            </w:pPr>
            <w:r/>
            <w:r>
              <w:rPr>
                <w:b w:val="0"/>
                <w:sz w:val="17"/>
              </w:rPr>
              <w:t>k=5</w:t>
            </w:r>
          </w:p>
        </w:tc>
        <w:tc>
          <w:tcPr>
            <w:tcW w:type="dxa" w:w="2379"/>
          </w:tcPr>
          <w:p>
            <w:pPr>
              <w:autoSpaceDE w:val="0"/>
              <w:autoSpaceDN w:val="0"/>
              <w:jc w:val="right"/>
            </w:pPr>
            <w:r/>
            <w:r>
              <w:rPr>
                <w:b w:val="0"/>
                <w:sz w:val="17"/>
              </w:rPr>
              <w:t>43,752</w:t>
            </w:r>
          </w:p>
        </w:tc>
        <w:tc>
          <w:tcPr>
            <w:tcW w:type="dxa" w:w="2379"/>
          </w:tcPr>
          <w:p>
            <w:pPr>
              <w:autoSpaceDE w:val="0"/>
              <w:autoSpaceDN w:val="0"/>
            </w:pPr>
            <w:r/>
            <w:r>
              <w:rPr>
                <w:b w:val="0"/>
                <w:sz w:val="17"/>
              </w:rPr>
              <w:t>6 초</w:t>
            </w:r>
          </w:p>
        </w:tc>
        <w:tc>
          <w:tcPr>
            <w:tcW w:type="dxa" w:w="2379"/>
          </w:tcPr>
          <w:p>
            <w:pPr>
              <w:autoSpaceDE w:val="0"/>
              <w:autoSpaceDN w:val="0"/>
              <w:jc w:val="right"/>
            </w:pPr>
            <w:r/>
            <w:r>
              <w:rPr>
                <w:b w:val="0"/>
                <w:sz w:val="17"/>
              </w:rPr>
              <w:t>598.58배</w:t>
            </w:r>
          </w:p>
        </w:tc>
      </w:tr>
    </w:tbl>
    <w:p/>
    <w:p>
      <w:pPr>
        <w:autoSpaceDE w:val="0"/>
        <w:autoSpaceDN w:val="0"/>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p>
      <w:pPr>
        <w:autoSpaceDE w:val="0"/>
        <w:autoSpaceDN w:val="0"/>
        <w:spacing w:before="120" w:after="40"/>
        <w:jc w:val="center"/>
      </w:pPr>
      <w:r>
        <w:rPr>
          <w:b/>
          <w:sz w:val="17"/>
        </w:rPr>
        <w:t>표 S6. 올림과 분수 점유의 비교 — 60일 부분집합, 24,000건, ω1=1</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지표</w:t>
            </w:r>
          </w:p>
        </w:tc>
        <w:tc>
          <w:tcPr>
            <w:tcW w:type="dxa" w:w="2379"/>
          </w:tcPr>
          <w:p>
            <w:pPr>
              <w:autoSpaceDE w:val="0"/>
              <w:autoSpaceDN w:val="0"/>
              <w:jc w:val="right"/>
            </w:pPr>
            <w:r/>
            <w:r>
              <w:rPr>
                <w:b/>
                <w:sz w:val="17"/>
              </w:rPr>
              <w:t>올림 (r_i=1)</w:t>
            </w:r>
          </w:p>
        </w:tc>
        <w:tc>
          <w:tcPr>
            <w:tcW w:type="dxa" w:w="2379"/>
          </w:tcPr>
          <w:p>
            <w:pPr>
              <w:autoSpaceDE w:val="0"/>
              <w:autoSpaceDN w:val="0"/>
              <w:jc w:val="right"/>
            </w:pPr>
            <w:r/>
            <w:r>
              <w:rPr>
                <w:b/>
                <w:sz w:val="17"/>
              </w:rPr>
              <w:t>분수 (r_i=min(d,1))</w:t>
            </w:r>
          </w:p>
        </w:tc>
        <w:tc>
          <w:tcPr>
            <w:tcW w:type="dxa" w:w="2379"/>
          </w:tcPr>
          <w:p>
            <w:pPr>
              <w:autoSpaceDE w:val="0"/>
              <w:autoSpaceDN w:val="0"/>
            </w:pPr>
            <w:r/>
            <w:r>
              <w:rPr>
                <w:b/>
                <w:sz w:val="17"/>
              </w:rPr>
              <w:t>변화</w:t>
            </w:r>
          </w:p>
        </w:tc>
      </w:tr>
      <w:tr>
        <w:tc>
          <w:tcPr>
            <w:tcW w:type="dxa" w:w="2379"/>
          </w:tcPr>
          <w:p>
            <w:pPr>
              <w:autoSpaceDE w:val="0"/>
              <w:autoSpaceDN w:val="0"/>
            </w:pPr>
            <w:r/>
            <w:r>
              <w:rPr>
                <w:b w:val="0"/>
                <w:sz w:val="17"/>
              </w:rPr>
              <w:t>총 배출량</w:t>
            </w:r>
          </w:p>
        </w:tc>
        <w:tc>
          <w:tcPr>
            <w:tcW w:type="dxa" w:w="2379"/>
          </w:tcPr>
          <w:p>
            <w:pPr>
              <w:autoSpaceDE w:val="0"/>
              <w:autoSpaceDN w:val="0"/>
              <w:jc w:val="right"/>
            </w:pPr>
            <w:r/>
            <w:r>
              <w:rPr>
                <w:b w:val="0"/>
                <w:sz w:val="17"/>
              </w:rPr>
              <w:t>4,357.0 kg</w:t>
            </w:r>
          </w:p>
        </w:tc>
        <w:tc>
          <w:tcPr>
            <w:tcW w:type="dxa" w:w="2379"/>
          </w:tcPr>
          <w:p>
            <w:pPr>
              <w:autoSpaceDE w:val="0"/>
              <w:autoSpaceDN w:val="0"/>
              <w:jc w:val="right"/>
            </w:pPr>
            <w:r/>
            <w:r>
              <w:rPr>
                <w:b w:val="0"/>
                <w:sz w:val="17"/>
              </w:rPr>
              <w:t>3,588.0 kg</w:t>
            </w:r>
          </w:p>
        </w:tc>
        <w:tc>
          <w:tcPr>
            <w:tcW w:type="dxa" w:w="2379"/>
          </w:tcPr>
          <w:p>
            <w:pPr>
              <w:autoSpaceDE w:val="0"/>
              <w:autoSpaceDN w:val="0"/>
            </w:pPr>
            <w:r/>
            <w:r>
              <w:rPr>
                <w:b w:val="0"/>
                <w:sz w:val="17"/>
              </w:rPr>
              <w:t>−17.6%</w:t>
            </w:r>
          </w:p>
        </w:tc>
      </w:tr>
      <w:tr>
        <w:tc>
          <w:tcPr>
            <w:tcW w:type="dxa" w:w="2379"/>
          </w:tcPr>
          <w:p>
            <w:pPr>
              <w:autoSpaceDE w:val="0"/>
              <w:autoSpaceDN w:val="0"/>
            </w:pPr>
            <w:r/>
            <w:r>
              <w:rPr>
                <w:b w:val="0"/>
                <w:sz w:val="17"/>
              </w:rPr>
              <w:t>마감 위반</w:t>
            </w:r>
          </w:p>
        </w:tc>
        <w:tc>
          <w:tcPr>
            <w:tcW w:type="dxa" w:w="2379"/>
          </w:tcPr>
          <w:p>
            <w:pPr>
              <w:autoSpaceDE w:val="0"/>
              <w:autoSpaceDN w:val="0"/>
              <w:jc w:val="right"/>
            </w:pPr>
            <w:r/>
            <w:r>
              <w:rPr>
                <w:b w:val="0"/>
                <w:sz w:val="17"/>
              </w:rPr>
              <w:t>4,186</w:t>
            </w:r>
          </w:p>
        </w:tc>
        <w:tc>
          <w:tcPr>
            <w:tcW w:type="dxa" w:w="2379"/>
          </w:tcPr>
          <w:p>
            <w:pPr>
              <w:autoSpaceDE w:val="0"/>
              <w:autoSpaceDN w:val="0"/>
              <w:jc w:val="right"/>
            </w:pPr>
            <w:r/>
            <w:r>
              <w:rPr>
                <w:b w:val="0"/>
                <w:sz w:val="17"/>
              </w:rPr>
              <w:t>2,552</w:t>
            </w:r>
          </w:p>
        </w:tc>
        <w:tc>
          <w:tcPr>
            <w:tcW w:type="dxa" w:w="2379"/>
          </w:tcPr>
          <w:p>
            <w:pPr>
              <w:autoSpaceDE w:val="0"/>
              <w:autoSpaceDN w:val="0"/>
            </w:pPr>
            <w:r/>
            <w:r>
              <w:rPr>
                <w:b w:val="0"/>
                <w:sz w:val="17"/>
              </w:rPr>
              <w:t>−39.0%</w:t>
            </w:r>
          </w:p>
        </w:tc>
      </w:tr>
      <w:tr>
        <w:tc>
          <w:tcPr>
            <w:tcW w:type="dxa" w:w="2379"/>
          </w:tcPr>
          <w:p>
            <w:pPr>
              <w:autoSpaceDE w:val="0"/>
              <w:autoSpaceDN w:val="0"/>
            </w:pPr>
            <w:r/>
            <w:r>
              <w:rPr>
                <w:b w:val="0"/>
                <w:sz w:val="17"/>
              </w:rPr>
              <w:t>용량 위반</w:t>
            </w:r>
          </w:p>
        </w:tc>
        <w:tc>
          <w:tcPr>
            <w:tcW w:type="dxa" w:w="2379"/>
          </w:tcPr>
          <w:p>
            <w:pPr>
              <w:autoSpaceDE w:val="0"/>
              <w:autoSpaceDN w:val="0"/>
              <w:jc w:val="right"/>
            </w:pPr>
            <w:r/>
            <w:r>
              <w:rPr>
                <w:b w:val="0"/>
                <w:sz w:val="17"/>
              </w:rPr>
              <w:t>1,623</w:t>
            </w:r>
          </w:p>
        </w:tc>
        <w:tc>
          <w:tcPr>
            <w:tcW w:type="dxa" w:w="2379"/>
          </w:tcPr>
          <w:p>
            <w:pPr>
              <w:autoSpaceDE w:val="0"/>
              <w:autoSpaceDN w:val="0"/>
              <w:jc w:val="right"/>
            </w:pPr>
            <w:r/>
            <w:r>
              <w:rPr>
                <w:b w:val="0"/>
                <w:sz w:val="17"/>
              </w:rPr>
              <w:t>615</w:t>
            </w:r>
          </w:p>
        </w:tc>
        <w:tc>
          <w:tcPr>
            <w:tcW w:type="dxa" w:w="2379"/>
          </w:tcPr>
          <w:p>
            <w:pPr>
              <w:autoSpaceDE w:val="0"/>
              <w:autoSpaceDN w:val="0"/>
            </w:pPr>
            <w:r/>
            <w:r>
              <w:rPr>
                <w:b w:val="0"/>
                <w:sz w:val="17"/>
              </w:rPr>
              <w:t>−62.1%</w:t>
            </w:r>
          </w:p>
        </w:tc>
      </w:tr>
    </w:tbl>
    <w:p/>
    <w:p>
      <w:pPr>
        <w:autoSpaceDE w:val="0"/>
        <w:autoSpaceDN w:val="0"/>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autoSpaceDE w:val="0"/>
        <w:autoSpaceDN w:val="0"/>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autoSpaceDE w:val="0"/>
        <w:autoSpaceDN w:val="0"/>
        <w:pStyle w:val="Heading2"/>
      </w:pPr>
      <w:r>
        <w:rPr>
          <w:rFonts w:ascii="맑은 고딕" w:hAnsi="맑은 고딕"/>
        </w:rPr>
        <w:t>인과율 버그와 그 영향</w:t>
      </w:r>
    </w:p>
    <w:p>
      <w:pPr>
        <w:autoSpaceDE w:val="0"/>
        <w:autoSpaceDN w:val="0"/>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autoSpaceDE w:val="0"/>
        <w:autoSpaceDN w:val="0"/>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autoSpaceDE w:val="0"/>
        <w:autoSpaceDN w:val="0"/>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autoSpaceDE w:val="0"/>
        <w:autoSpaceDN w:val="0"/>
        <w:pStyle w:val="Heading2"/>
      </w:pPr>
      <w:r>
        <w:rPr>
          <w:rFonts w:ascii="맑은 고딕" w:hAnsi="맑은 고딕"/>
        </w:rPr>
        <w:t>본편 표 5에 실은 값</w:t>
      </w:r>
    </w:p>
    <w:p>
      <w:pPr>
        <w:autoSpaceDE w:val="0"/>
        <w:autoSpaceDN w:val="0"/>
        <w:jc w:val="both"/>
      </w:pPr>
      <w:r>
        <w:rPr>
          <w:i/>
          <w:sz w:val="20"/>
        </w:rPr>
        <w:t>【전체 스케일 실행 진행 중】</w:t>
      </w:r>
    </w:p>
    <w:p>
      <w:pPr>
        <w:autoSpaceDE w:val="0"/>
        <w:autoSpaceDN w:val="0"/>
        <w:pStyle w:val="Heading1"/>
      </w:pPr>
      <w:r>
        <w:rPr>
          <w:rFonts w:ascii="맑은 고딕" w:hAnsi="맑은 고딕"/>
        </w:rPr>
        <w:t>A.6  대응시키지 않은 정책과 그 이유</w:t>
      </w:r>
    </w:p>
    <w:p>
      <w:pPr>
        <w:autoSpaceDE w:val="0"/>
        <w:autoSpaceDN w:val="0"/>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autoSpaceDE w:val="0"/>
        <w:autoSpaceDN w:val="0"/>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autoSpaceDE w:val="0"/>
        <w:autoSpaceDN w:val="0"/>
        <w:pStyle w:val="Heading1"/>
      </w:pPr>
      <w:r>
        <w:rPr>
          <w:rFonts w:ascii="맑은 고딕" w:hAnsi="맑은 고딕"/>
        </w:rPr>
        <w:t>A.7  선행 연구의 평가 규모</w:t>
      </w:r>
    </w:p>
    <w:p>
      <w:pPr>
        <w:autoSpaceDE w:val="0"/>
        <w:autoSpaceDN w:val="0"/>
        <w:jc w:val="both"/>
      </w:pPr>
      <w:r>
        <w:rPr>
          <w:i w:val="0"/>
          <w:sz w:val="20"/>
        </w:rPr>
        <w:t>본 연구는 실제 클러스터 배포가 아닌 시뮬레이션 평가다. 비교 대상들의 평가 방식을 원문에서 확인한 결과는 다음과 같다.</w:t>
      </w:r>
    </w:p>
    <w:p>
      <w:pPr>
        <w:autoSpaceDE w:val="0"/>
        <w:autoSpaceDN w:val="0"/>
        <w:spacing w:before="120" w:after="40"/>
        <w:jc w:val="center"/>
      </w:pPr>
      <w:r>
        <w:rPr>
          <w:b/>
          <w:sz w:val="17"/>
        </w:rPr>
        <w:t>표 S7. 선행 연구와 본 연구의 평가 방식·규모</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연구</w:t>
            </w:r>
          </w:p>
        </w:tc>
        <w:tc>
          <w:tcPr>
            <w:tcW w:type="dxa" w:w="2379"/>
          </w:tcPr>
          <w:p>
            <w:pPr>
              <w:autoSpaceDE w:val="0"/>
              <w:autoSpaceDN w:val="0"/>
            </w:pPr>
            <w:r/>
            <w:r>
              <w:rPr>
                <w:b/>
                <w:sz w:val="17"/>
              </w:rPr>
              <w:t>평가 방식</w:t>
            </w:r>
          </w:p>
        </w:tc>
        <w:tc>
          <w:tcPr>
            <w:tcW w:type="dxa" w:w="2379"/>
          </w:tcPr>
          <w:p>
            <w:pPr>
              <w:autoSpaceDE w:val="0"/>
              <w:autoSpaceDN w:val="0"/>
            </w:pPr>
            <w:r/>
            <w:r>
              <w:rPr>
                <w:b/>
                <w:sz w:val="17"/>
              </w:rPr>
              <w:t>규모</w:t>
            </w:r>
          </w:p>
        </w:tc>
        <w:tc>
          <w:tcPr>
            <w:tcW w:type="dxa" w:w="2379"/>
          </w:tcPr>
          <w:p>
            <w:pPr>
              <w:autoSpaceDE w:val="0"/>
              <w:autoSpaceDN w:val="0"/>
            </w:pPr>
            <w:r/>
            <w:r>
              <w:rPr>
                <w:b/>
                <w:sz w:val="17"/>
              </w:rPr>
              <w:t>기간</w:t>
            </w:r>
          </w:p>
        </w:tc>
      </w:tr>
      <w:tr>
        <w:tc>
          <w:tcPr>
            <w:tcW w:type="dxa" w:w="2379"/>
          </w:tcPr>
          <w:p>
            <w:pPr>
              <w:autoSpaceDE w:val="0"/>
              <w:autoSpaceDN w:val="0"/>
            </w:pPr>
            <w:r/>
            <w:r>
              <w:rPr>
                <w:b w:val="0"/>
                <w:sz w:val="17"/>
              </w:rPr>
              <w:t>CICS</w:t>
            </w:r>
          </w:p>
        </w:tc>
        <w:tc>
          <w:tcPr>
            <w:tcW w:type="dxa" w:w="2379"/>
          </w:tcPr>
          <w:p>
            <w:pPr>
              <w:autoSpaceDE w:val="0"/>
              <w:autoSpaceDN w:val="0"/>
            </w:pPr>
            <w:r/>
            <w:r>
              <w:rPr>
                <w:b w:val="0"/>
                <w:sz w:val="17"/>
              </w:rPr>
              <w:t>실제 운영 배포</w:t>
            </w:r>
          </w:p>
        </w:tc>
        <w:tc>
          <w:tcPr>
            <w:tcW w:type="dxa" w:w="2379"/>
          </w:tcPr>
          <w:p>
            <w:pPr>
              <w:autoSpaceDE w:val="0"/>
              <w:autoSpaceDN w:val="0"/>
            </w:pPr>
            <w:r/>
            <w:r>
              <w:rPr>
                <w:b w:val="0"/>
                <w:sz w:val="17"/>
              </w:rPr>
              <w:t>사업자 데이터센터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CarbonFlex</w:t>
            </w:r>
          </w:p>
        </w:tc>
        <w:tc>
          <w:tcPr>
            <w:tcW w:type="dxa" w:w="2379"/>
          </w:tcPr>
          <w:p>
            <w:pPr>
              <w:autoSpaceDE w:val="0"/>
              <w:autoSpaceDN w:val="0"/>
            </w:pPr>
            <w:r/>
            <w:r>
              <w:rPr>
                <w:b w:val="0"/>
                <w:sz w:val="17"/>
              </w:rPr>
              <w:t>클라우드 프로토타입</w:t>
            </w:r>
          </w:p>
        </w:tc>
        <w:tc>
          <w:tcPr>
            <w:tcW w:type="dxa" w:w="2379"/>
          </w:tcPr>
          <w:p>
            <w:pPr>
              <w:autoSpaceDE w:val="0"/>
              <w:autoSpaceDN w:val="0"/>
            </w:pPr>
            <w:r/>
            <w:r>
              <w:rPr>
                <w:b w:val="0"/>
                <w:sz w:val="17"/>
              </w:rPr>
              <w:t>CPU·GPU 클러스터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CASPER</w:t>
            </w:r>
          </w:p>
        </w:tc>
        <w:tc>
          <w:tcPr>
            <w:tcW w:type="dxa" w:w="2379"/>
          </w:tcPr>
          <w:p>
            <w:pPr>
              <w:autoSpaceDE w:val="0"/>
              <w:autoSpaceDN w:val="0"/>
            </w:pPr>
            <w:r/>
            <w:r>
              <w:rPr>
                <w:b w:val="0"/>
                <w:sz w:val="17"/>
              </w:rPr>
              <w:t>원문 표현 “simulation”</w:t>
            </w:r>
          </w:p>
        </w:tc>
        <w:tc>
          <w:tcPr>
            <w:tcW w:type="dxa" w:w="2379"/>
          </w:tcPr>
          <w:p>
            <w:pPr>
              <w:autoSpaceDE w:val="0"/>
              <w:autoSpaceDN w:val="0"/>
            </w:pPr>
            <w:r/>
            <w:r>
              <w:rPr>
                <w:b w:val="0"/>
                <w:sz w:val="17"/>
              </w:rPr>
              <w:t>웹 서비스 모사</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Caspian</w:t>
            </w:r>
          </w:p>
        </w:tc>
        <w:tc>
          <w:tcPr>
            <w:tcW w:type="dxa" w:w="2379"/>
          </w:tcPr>
          <w:p>
            <w:pPr>
              <w:autoSpaceDE w:val="0"/>
              <w:autoSpaceDN w:val="0"/>
            </w:pPr>
            <w:r/>
            <w:r>
              <w:rPr>
                <w:b w:val="0"/>
                <w:sz w:val="17"/>
              </w:rPr>
              <w:t>컨테이너 기반 4클러스터</w:t>
            </w:r>
          </w:p>
        </w:tc>
        <w:tc>
          <w:tcPr>
            <w:tcW w:type="dxa" w:w="2379"/>
          </w:tcPr>
          <w:p>
            <w:pPr>
              <w:autoSpaceDE w:val="0"/>
              <w:autoSpaceDN w:val="0"/>
            </w:pPr>
            <w:r/>
            <w:r>
              <w:rPr>
                <w:b w:val="0"/>
                <w:sz w:val="17"/>
              </w:rPr>
              <w:t>작업 200건</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Sukprasert</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123개 리전</w:t>
            </w:r>
          </w:p>
        </w:tc>
        <w:tc>
          <w:tcPr>
            <w:tcW w:type="dxa" w:w="2379"/>
          </w:tcPr>
          <w:p>
            <w:pPr>
              <w:autoSpaceDE w:val="0"/>
              <w:autoSpaceDN w:val="0"/>
            </w:pPr>
            <w:r/>
            <w:r>
              <w:rPr>
                <w:b w:val="0"/>
                <w:sz w:val="17"/>
              </w:rPr>
              <w:t>3년</w:t>
            </w:r>
          </w:p>
        </w:tc>
      </w:tr>
      <w:tr>
        <w:tc>
          <w:tcPr>
            <w:tcW w:type="dxa" w:w="2379"/>
          </w:tcPr>
          <w:p>
            <w:pPr>
              <w:autoSpaceDE w:val="0"/>
              <w:autoSpaceDN w:val="0"/>
            </w:pPr>
            <w:r/>
            <w:r>
              <w:rPr>
                <w:b w:val="0"/>
                <w:sz w:val="17"/>
              </w:rPr>
              <w:t>본 연구</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8개 리전 · 작업 146,000건</w:t>
            </w:r>
          </w:p>
        </w:tc>
        <w:tc>
          <w:tcPr>
            <w:tcW w:type="dxa" w:w="2379"/>
          </w:tcPr>
          <w:p>
            <w:pPr>
              <w:autoSpaceDE w:val="0"/>
              <w:autoSpaceDN w:val="0"/>
            </w:pPr>
            <w:r/>
            <w:r>
              <w:rPr>
                <w:b w:val="0"/>
                <w:sz w:val="17"/>
              </w:rPr>
              <w:t>1년</w:t>
            </w:r>
          </w:p>
        </w:tc>
      </w:tr>
    </w:tbl>
    <w:p/>
    <w:p>
      <w:pPr>
        <w:autoSpaceDE w:val="0"/>
        <w:autoSpaceDN w:val="0"/>
        <w:jc w:val="both"/>
      </w:pPr>
      <w:r>
        <w:rPr>
          <w:i w:val="0"/>
          <w:sz w:val="20"/>
        </w:rPr>
        <w:t>탄소집약도는 계절에 따른 구조를 갖는다. 여름의 태양광과 겨울의 풍력, 리전 간 위상차는 하루 단위 실험으로는 관측할 수 없다. 본편 4.3절이 보고하는 “시간 이동 절감의 71.9%가 한 리전에서 발생하고 그 리전의 초과 슬롯 91.38%가 저녁 세 시간에 몰린다”는 결과는 1년치 자료 없이는 얻을 수 없다.</w:t>
      </w:r>
    </w:p>
    <w:p>
      <w:pPr>
        <w:autoSpaceDE w:val="0"/>
        <w:autoSpaceDN w:val="0"/>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autoSpaceDE w:val="0"/>
        <w:autoSpaceDN w:val="0"/>
        <w:pStyle w:val="Heading1"/>
      </w:pPr>
      <w:r>
        <w:rPr>
          <w:rFonts w:ascii="맑은 고딕" w:hAnsi="맑은 고딕"/>
        </w:rPr>
        <w:t>A.8  아티팩트 — 코드와 재현 절차</w:t>
      </w:r>
    </w:p>
    <w:p>
      <w:pPr>
        <w:autoSpaceDE w:val="0"/>
        <w:autoSpaceDN w:val="0"/>
        <w:jc w:val="both"/>
      </w:pPr>
      <w:r>
        <w:rPr>
          <w:i w:val="0"/>
          <w:sz w:val="20"/>
        </w:rPr>
        <w:t>본편의 모든 수치는 아래 절차로 다시 만들 수 있다. 선행 정책 재현 코드는 기존 파이프라인을 고치지 않고 별도 모듈로 두었다.</w:t>
      </w:r>
    </w:p>
    <w:p>
      <w:pPr>
        <w:autoSpaceDE w:val="0"/>
        <w:autoSpaceDN w:val="0"/>
        <w:pStyle w:val="Heading2"/>
      </w:pPr>
      <w:r>
        <w:rPr>
          <w:rFonts w:ascii="맑은 고딕" w:hAnsi="맑은 고딕"/>
        </w:rPr>
        <w:t>구성</w:t>
      </w:r>
    </w:p>
    <w:p>
      <w:pPr>
        <w:autoSpaceDE w:val="0"/>
        <w:autoSpaceDN w:val="0"/>
        <w:spacing w:before="120" w:after="40"/>
        <w:jc w:val="center"/>
      </w:pPr>
      <w:r>
        <w:rPr>
          <w:b/>
          <w:sz w:val="17"/>
        </w:rPr>
        <w:t>표 S8. 재현에 쓰이는 파일</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파일</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scheduler/prior_harness.py</w:t>
            </w:r>
          </w:p>
        </w:tc>
        <w:tc>
          <w:tcPr>
            <w:tcW w:type="dxa" w:w="4759"/>
          </w:tcPr>
          <w:p>
            <w:pPr>
              <w:autoSpaceDE w:val="0"/>
              <w:autoSpaceDN w:val="0"/>
            </w:pPr>
            <w:r/>
            <w:r>
              <w:rPr>
                <w:b w:val="0"/>
                <w:sz w:val="17"/>
              </w:rPr>
              <w:t>공용 채점 함수. 모든 재현이 여기를 통과한다</w:t>
            </w:r>
          </w:p>
        </w:tc>
      </w:tr>
      <w:tr>
        <w:tc>
          <w:tcPr>
            <w:tcW w:type="dxa" w:w="4759"/>
          </w:tcPr>
          <w:p>
            <w:pPr>
              <w:autoSpaceDE w:val="0"/>
              <w:autoSpaceDN w:val="0"/>
            </w:pPr>
            <w:r/>
            <w:r>
              <w:rPr>
                <w:b w:val="0"/>
                <w:sz w:val="17"/>
              </w:rPr>
              <w:t>scheduler/prior_casper.py</w:t>
            </w:r>
          </w:p>
        </w:tc>
        <w:tc>
          <w:tcPr>
            <w:tcW w:type="dxa" w:w="4759"/>
          </w:tcPr>
          <w:p>
            <w:pPr>
              <w:autoSpaceDE w:val="0"/>
              <w:autoSpaceDN w:val="0"/>
            </w:pPr>
            <w:r/>
            <w:r>
              <w:rPr>
                <w:b w:val="0"/>
                <w:sz w:val="17"/>
              </w:rPr>
              <w:t>CASPER MILP (A.2)</w:t>
            </w:r>
          </w:p>
        </w:tc>
      </w:tr>
      <w:tr>
        <w:tc>
          <w:tcPr>
            <w:tcW w:type="dxa" w:w="4759"/>
          </w:tcPr>
          <w:p>
            <w:pPr>
              <w:autoSpaceDE w:val="0"/>
              <w:autoSpaceDN w:val="0"/>
            </w:pPr>
            <w:r/>
            <w:r>
              <w:rPr>
                <w:b w:val="0"/>
                <w:sz w:val="17"/>
              </w:rPr>
              <w:t>scheduler/prior_cics.py</w:t>
            </w:r>
          </w:p>
        </w:tc>
        <w:tc>
          <w:tcPr>
            <w:tcW w:type="dxa" w:w="4759"/>
          </w:tcPr>
          <w:p>
            <w:pPr>
              <w:autoSpaceDE w:val="0"/>
              <w:autoSpaceDN w:val="0"/>
            </w:pPr>
            <w:r/>
            <w:r>
              <w:rPr>
                <w:b w:val="0"/>
                <w:sz w:val="17"/>
              </w:rPr>
              <w:t>CICS VCC (A.3)</w:t>
            </w:r>
          </w:p>
        </w:tc>
      </w:tr>
      <w:tr>
        <w:tc>
          <w:tcPr>
            <w:tcW w:type="dxa" w:w="4759"/>
          </w:tcPr>
          <w:p>
            <w:pPr>
              <w:autoSpaceDE w:val="0"/>
              <w:autoSpaceDN w:val="0"/>
            </w:pPr>
            <w:r/>
            <w:r>
              <w:rPr>
                <w:b w:val="0"/>
                <w:sz w:val="17"/>
              </w:rPr>
              <w:t>scheduler/prior_sukprasert.py</w:t>
            </w:r>
          </w:p>
        </w:tc>
        <w:tc>
          <w:tcPr>
            <w:tcW w:type="dxa" w:w="4759"/>
          </w:tcPr>
          <w:p>
            <w:pPr>
              <w:autoSpaceDE w:val="0"/>
              <w:autoSpaceDN w:val="0"/>
            </w:pPr>
            <w:r/>
            <w:r>
              <w:rPr>
                <w:b w:val="0"/>
                <w:sz w:val="17"/>
              </w:rPr>
              <w:t>Sukprasert 탐색 (A.4)</w:t>
            </w:r>
          </w:p>
        </w:tc>
      </w:tr>
      <w:tr>
        <w:tc>
          <w:tcPr>
            <w:tcW w:type="dxa" w:w="4759"/>
          </w:tcPr>
          <w:p>
            <w:pPr>
              <w:autoSpaceDE w:val="0"/>
              <w:autoSpaceDN w:val="0"/>
            </w:pPr>
            <w:r/>
            <w:r>
              <w:rPr>
                <w:b w:val="0"/>
                <w:sz w:val="17"/>
              </w:rPr>
              <w:t>scheduler/prior_caspian.py</w:t>
            </w:r>
          </w:p>
        </w:tc>
        <w:tc>
          <w:tcPr>
            <w:tcW w:type="dxa" w:w="4759"/>
          </w:tcPr>
          <w:p>
            <w:pPr>
              <w:autoSpaceDE w:val="0"/>
              <w:autoSpaceDN w:val="0"/>
            </w:pPr>
            <w:r/>
            <w:r>
              <w:rPr>
                <w:b w:val="0"/>
                <w:sz w:val="17"/>
              </w:rPr>
              <w:t>Caspian 정수 계획 (A.5)</w:t>
            </w:r>
          </w:p>
        </w:tc>
      </w:tr>
      <w:tr>
        <w:tc>
          <w:tcPr>
            <w:tcW w:type="dxa" w:w="4759"/>
          </w:tcPr>
          <w:p>
            <w:pPr>
              <w:autoSpaceDE w:val="0"/>
              <w:autoSpaceDN w:val="0"/>
            </w:pPr>
            <w:r/>
            <w:r>
              <w:rPr>
                <w:b w:val="0"/>
                <w:sz w:val="17"/>
              </w:rPr>
              <w:t>scheduler/reproduce.py</w:t>
            </w:r>
          </w:p>
        </w:tc>
        <w:tc>
          <w:tcPr>
            <w:tcW w:type="dxa" w:w="4759"/>
          </w:tcPr>
          <w:p>
            <w:pPr>
              <w:autoSpaceDE w:val="0"/>
              <w:autoSpaceDN w:val="0"/>
            </w:pPr>
            <w:r/>
            <w:r>
              <w:rPr>
                <w:b w:val="0"/>
                <w:sz w:val="17"/>
              </w:rPr>
              <w:t>본편 표·그림 재생성</w:t>
            </w:r>
          </w:p>
        </w:tc>
      </w:tr>
      <w:tr>
        <w:tc>
          <w:tcPr>
            <w:tcW w:type="dxa" w:w="4759"/>
          </w:tcPr>
          <w:p>
            <w:pPr>
              <w:autoSpaceDE w:val="0"/>
              <w:autoSpaceDN w:val="0"/>
            </w:pPr>
            <w:r/>
            <w:r>
              <w:rPr>
                <w:b w:val="0"/>
                <w:sz w:val="17"/>
              </w:rPr>
              <w:t>paper/diagram/gen_*.py</w:t>
            </w:r>
          </w:p>
        </w:tc>
        <w:tc>
          <w:tcPr>
            <w:tcW w:type="dxa" w:w="4759"/>
          </w:tcPr>
          <w:p>
            <w:pPr>
              <w:autoSpaceDE w:val="0"/>
              <w:autoSpaceDN w:val="0"/>
            </w:pPr>
            <w:r/>
            <w:r>
              <w:rPr>
                <w:b w:val="0"/>
                <w:sz w:val="17"/>
              </w:rPr>
              <w:t>그림 생성</w:t>
            </w:r>
          </w:p>
        </w:tc>
      </w:tr>
    </w:tbl>
    <w:p/>
    <w:p>
      <w:pPr>
        <w:autoSpaceDE w:val="0"/>
        <w:autoSpaceDN w:val="0"/>
        <w:pStyle w:val="Heading2"/>
      </w:pPr>
      <w:r>
        <w:rPr>
          <w:rFonts w:ascii="맑은 고딕" w:hAnsi="맑은 고딕"/>
        </w:rPr>
        <w:t>실행</w:t>
      </w:r>
    </w:p>
    <w:p>
      <w:pPr>
        <w:autoSpaceDE w:val="0"/>
        <w:autoSpaceDN w:val="0"/>
        <w:jc w:val="both"/>
      </w:pPr>
      <w:r>
        <w:rPr>
          <w:i w:val="0"/>
          <w:sz w:val="20"/>
        </w:rPr>
        <w:t>본편 표 1·2와 그림은 한 명령으로 나온다.</w:t>
      </w:r>
    </w:p>
    <w:p>
      <w:pPr>
        <w:autoSpaceDE w:val="0"/>
        <w:autoSpaceDN w:val="0"/>
        <w:spacing w:after="80"/>
        <w:ind w:left="340"/>
      </w:pPr>
      <w:r>
        <w:rPr>
          <w:rFonts w:ascii="Menlo" w:hAnsi="Menlo"/>
          <w:sz w:val="17"/>
        </w:rPr>
        <w:t>python -m scheduler.reproduce</w:t>
      </w:r>
    </w:p>
    <w:p>
      <w:pPr>
        <w:autoSpaceDE w:val="0"/>
        <w:autoSpaceDN w:val="0"/>
        <w:jc w:val="both"/>
      </w:pPr>
      <w:r>
        <w:rPr>
          <w:i w:val="0"/>
          <w:sz w:val="20"/>
        </w:rPr>
        <w:t>표 5의 선행 정책은 정책마다 따로 돌린다. 어느 것이든 결과는 같은 채점 함수를 통과하므로 서로 비교할 수 있다.</w:t>
      </w:r>
    </w:p>
    <w:p>
      <w:pPr>
        <w:autoSpaceDE w:val="0"/>
        <w:autoSpaceDN w:val="0"/>
        <w:spacing w:after="80"/>
        <w:ind w:left="340"/>
      </w:pPr>
      <w:r>
        <w:rPr>
          <w:rFonts w:ascii="Menlo" w:hAnsi="Menlo"/>
          <w:sz w:val="17"/>
        </w:rPr>
        <w:t>python -m scheduler.prior_harness            # 채점 함수 자체 검증</w:t>
      </w:r>
    </w:p>
    <w:p>
      <w:pPr>
        <w:autoSpaceDE w:val="0"/>
        <w:autoSpaceDN w:val="0"/>
        <w:spacing w:after="80"/>
        <w:ind w:left="340"/>
      </w:pPr>
      <w:r>
        <w:rPr>
          <w:rFonts w:ascii="Menlo" w:hAnsi="Menlo"/>
          <w:sz w:val="17"/>
        </w:rPr>
        <w:t>python -m scheduler.prior_casper             # α=0.9 와 0.5 둘 다</w:t>
      </w:r>
    </w:p>
    <w:p>
      <w:pPr>
        <w:autoSpaceDE w:val="0"/>
        <w:autoSpaceDN w:val="0"/>
        <w:spacing w:after="80"/>
        <w:ind w:left="340"/>
      </w:pPr>
      <w:r>
        <w:rPr>
          <w:rFonts w:ascii="Menlo" w:hAnsi="Menlo"/>
          <w:sz w:val="17"/>
        </w:rPr>
        <w:t>python -m scheduler.prior_casper --alpha 0.9 # 하나만</w:t>
      </w:r>
    </w:p>
    <w:p>
      <w:pPr>
        <w:autoSpaceDE w:val="0"/>
        <w:autoSpaceDN w:val="0"/>
        <w:spacing w:after="80"/>
        <w:ind w:left="340"/>
      </w:pPr>
      <w:r>
        <w:rPr>
          <w:rFonts w:ascii="Menlo" w:hAnsi="Menlo"/>
          <w:sz w:val="17"/>
        </w:rPr>
        <w:t>python -m scheduler.prior_cics               # λp/λe = 0</w:t>
      </w:r>
    </w:p>
    <w:p>
      <w:pPr>
        <w:autoSpaceDE w:val="0"/>
        <w:autoSpaceDN w:val="0"/>
        <w:spacing w:after="80"/>
        <w:ind w:left="340"/>
      </w:pPr>
      <w:r>
        <w:rPr>
          <w:rFonts w:ascii="Menlo" w:hAnsi="Menlo"/>
          <w:sz w:val="17"/>
        </w:rPr>
        <w:t>python -m scheduler.prior_cics --sweep       # A.3 가중치 스윕</w:t>
      </w:r>
    </w:p>
    <w:p>
      <w:pPr>
        <w:autoSpaceDE w:val="0"/>
        <w:autoSpaceDN w:val="0"/>
        <w:spacing w:after="80"/>
        <w:ind w:left="340"/>
      </w:pPr>
      <w:r>
        <w:rPr>
          <w:rFonts w:ascii="Menlo" w:hAnsi="Menlo"/>
          <w:sz w:val="17"/>
        </w:rPr>
        <w:t>python -m scheduler.prior_sukprasert         # 시간 단독·공간+시간</w:t>
      </w:r>
    </w:p>
    <w:p>
      <w:pPr>
        <w:autoSpaceDE w:val="0"/>
        <w:autoSpaceDN w:val="0"/>
        <w:spacing w:after="80"/>
        <w:ind w:left="340"/>
      </w:pPr>
      <w:r>
        <w:rPr>
          <w:rFonts w:ascii="Menlo" w:hAnsi="Menlo"/>
          <w:sz w:val="17"/>
        </w:rPr>
        <w:t>python -m scheduler.run_caspian_sweep 1.0    # Caspian, ω1 지정</w:t>
      </w:r>
    </w:p>
    <w:p>
      <w:pPr>
        <w:autoSpaceDE w:val="0"/>
        <w:autoSpaceDN w:val="0"/>
        <w:spacing w:after="80"/>
        <w:ind w:left="340"/>
      </w:pPr>
      <w:r>
        <w:rPr>
          <w:rFonts w:ascii="Menlo" w:hAnsi="Menlo"/>
          <w:sz w:val="17"/>
        </w:rPr>
        <w:t>python -m scheduler.run_caspian_sweep 1.0 fractional</w:t>
      </w:r>
    </w:p>
    <w:p>
      <w:pPr>
        <w:autoSpaceDE w:val="0"/>
        <w:autoSpaceDN w:val="0"/>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autoSpaceDE w:val="0"/>
        <w:autoSpaceDN w:val="0"/>
        <w:jc w:val="both"/>
      </w:pPr>
      <w:r>
        <w:rPr>
          <w:i w:val="0"/>
          <w:sz w:val="20"/>
        </w:rPr>
        <w:t>A.9 의 정확 적분 재채점 표 두 개는 다음으로 만든다.</w:t>
      </w:r>
    </w:p>
    <w:p>
      <w:pPr>
        <w:autoSpaceDE w:val="0"/>
        <w:autoSpaceDN w:val="0"/>
        <w:spacing w:after="80"/>
        <w:ind w:left="340"/>
      </w:pPr>
      <w:r>
        <w:rPr>
          <w:rFonts w:ascii="Menlo" w:hAnsi="Menlo"/>
          <w:sz w:val="17"/>
        </w:rPr>
        <w:t>python -m scheduler.accounting_check_table5</w:t>
      </w:r>
    </w:p>
    <w:p>
      <w:pPr>
        <w:autoSpaceDE w:val="0"/>
        <w:autoSpaceDN w:val="0"/>
        <w:pStyle w:val="Heading2"/>
      </w:pPr>
      <w:r>
        <w:rPr>
          <w:rFonts w:ascii="맑은 고딕" w:hAnsi="맑은 고딕"/>
        </w:rPr>
        <w:t>입력 자료</w:t>
      </w:r>
    </w:p>
    <w:p>
      <w:pPr>
        <w:autoSpaceDE w:val="0"/>
        <w:autoSpaceDN w:val="0"/>
        <w:spacing w:before="120" w:after="40"/>
        <w:jc w:val="center"/>
      </w:pPr>
      <w:r>
        <w:rPr>
          <w:b/>
          <w:sz w:val="17"/>
        </w:rPr>
        <w:t>표 S9. 저장소에 포함된 입력 자료</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경로</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load_balancer/data/jobs.csv</w:t>
            </w:r>
          </w:p>
        </w:tc>
        <w:tc>
          <w:tcPr>
            <w:tcW w:type="dxa" w:w="4759"/>
          </w:tcPr>
          <w:p>
            <w:pPr>
              <w:autoSpaceDE w:val="0"/>
              <w:autoSpaceDN w:val="0"/>
            </w:pPr>
            <w:r/>
            <w:r>
              <w:rPr>
                <w:b w:val="0"/>
                <w:sz w:val="17"/>
              </w:rPr>
              <w:t>작업 146,000건의 명세 (id·제출 시각·출발 리전·등급·실행 시간)</w:t>
            </w:r>
          </w:p>
        </w:tc>
      </w:tr>
      <w:tr>
        <w:tc>
          <w:tcPr>
            <w:tcW w:type="dxa" w:w="4759"/>
          </w:tcPr>
          <w:p>
            <w:pPr>
              <w:autoSpaceDE w:val="0"/>
              <w:autoSpaceDN w:val="0"/>
            </w:pPr>
            <w:r/>
            <w:r>
              <w:rPr>
                <w:b w:val="0"/>
                <w:sz w:val="17"/>
              </w:rPr>
              <w:t>load_balancer/data/latency_8x8.csv</w:t>
            </w:r>
          </w:p>
        </w:tc>
        <w:tc>
          <w:tcPr>
            <w:tcW w:type="dxa" w:w="4759"/>
          </w:tcPr>
          <w:p>
            <w:pPr>
              <w:autoSpaceDE w:val="0"/>
              <w:autoSpaceDN w:val="0"/>
            </w:pPr>
            <w:r/>
            <w:r>
              <w:rPr>
                <w:b w:val="0"/>
                <w:sz w:val="17"/>
              </w:rPr>
              <w:t>리전 간 왕복 지연 행렬 (ms)</w:t>
            </w:r>
          </w:p>
        </w:tc>
      </w:tr>
      <w:tr>
        <w:tc>
          <w:tcPr>
            <w:tcW w:type="dxa" w:w="4759"/>
          </w:tcPr>
          <w:p>
            <w:pPr>
              <w:autoSpaceDE w:val="0"/>
              <w:autoSpaceDN w:val="0"/>
            </w:pPr>
            <w:r/>
            <w:r>
              <w:rPr>
                <w:b w:val="0"/>
                <w:sz w:val="17"/>
              </w:rPr>
              <w:t>load_balancer/data/lstm_eval/</w:t>
            </w:r>
          </w:p>
        </w:tc>
        <w:tc>
          <w:tcPr>
            <w:tcW w:type="dxa" w:w="4759"/>
          </w:tcPr>
          <w:p>
            <w:pPr>
              <w:autoSpaceDE w:val="0"/>
              <w:autoSpaceDN w:val="0"/>
            </w:pPr>
            <w:r/>
            <w:r>
              <w:rPr>
                <w:b w:val="0"/>
                <w:sz w:val="17"/>
              </w:rPr>
              <w:t>리전별 eval_records — 실측(y_true)과 예측(y_pred)</w:t>
            </w:r>
          </w:p>
        </w:tc>
      </w:tr>
      <w:tr>
        <w:tc>
          <w:tcPr>
            <w:tcW w:type="dxa" w:w="4759"/>
          </w:tcPr>
          <w:p>
            <w:pPr>
              <w:autoSpaceDE w:val="0"/>
              <w:autoSpaceDN w:val="0"/>
            </w:pPr>
            <w:r/>
            <w:r>
              <w:rPr>
                <w:b w:val="0"/>
                <w:sz w:val="17"/>
              </w:rPr>
              <w:t>scheduler/data/</w:t>
            </w:r>
          </w:p>
        </w:tc>
        <w:tc>
          <w:tcPr>
            <w:tcW w:type="dxa" w:w="4759"/>
          </w:tcPr>
          <w:p>
            <w:pPr>
              <w:autoSpaceDE w:val="0"/>
              <w:autoSpaceDN w:val="0"/>
            </w:pPr>
            <w:r/>
            <w:r>
              <w:rPr>
                <w:b w:val="0"/>
                <w:sz w:val="17"/>
              </w:rPr>
              <w:t>용량 스윕·민감도·오라클 실행의 저장된 산출물</w:t>
            </w:r>
          </w:p>
        </w:tc>
      </w:tr>
    </w:tbl>
    <w:p/>
    <w:p>
      <w:pPr>
        <w:autoSpaceDE w:val="0"/>
        <w:autoSpaceDN w:val="0"/>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autoSpaceDE w:val="0"/>
        <w:autoSpaceDN w:val="0"/>
        <w:pStyle w:val="Heading2"/>
      </w:pPr>
      <w:r>
        <w:rPr>
          <w:rFonts w:ascii="맑은 고딕" w:hAnsi="맑은 고딕"/>
        </w:rPr>
        <w:t>기대 결과와 허용 오차</w:t>
      </w:r>
    </w:p>
    <w:p>
      <w:pPr>
        <w:autoSpaceDE w:val="0"/>
        <w:autoSpaceDN w:val="0"/>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autoSpaceDE w:val="0"/>
        <w:autoSpaceDN w:val="0"/>
        <w:pStyle w:val="Heading2"/>
      </w:pPr>
      <w:r>
        <w:rPr>
          <w:rFonts w:ascii="맑은 고딕" w:hAnsi="맑은 고딕"/>
        </w:rPr>
        <w:t>필요한 것</w:t>
      </w:r>
    </w:p>
    <w:p>
      <w:pPr>
        <w:autoSpaceDE w:val="0"/>
        <w:autoSpaceDN w:val="0"/>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autoSpaceDE w:val="0"/>
        <w:autoSpaceDN w:val="0"/>
        <w:pStyle w:val="Heading1"/>
      </w:pPr>
      <w:r>
        <w:rPr>
          <w:rFonts w:ascii="맑은 고딕" w:hAnsi="맑은 고딕"/>
        </w:rPr>
        <w:t>A.9  정식화와 알고리즘의 세부</w:t>
      </w:r>
    </w:p>
    <w:p>
      <w:pPr>
        <w:autoSpaceDE w:val="0"/>
        <w:autoSpaceDN w:val="0"/>
        <w:jc w:val="both"/>
      </w:pPr>
      <w:r>
        <w:rPr>
          <w:i w:val="0"/>
          <w:sz w:val="20"/>
        </w:rPr>
        <w:t>본편 3.2절·3.4절·3.5절은 각 식이 무엇을 뜻하는지만 밝히고 넘어간다. 한 줄씩 따라가려는 독자를 위해 그 세부를 여기 옮긴다.</w:t>
      </w:r>
    </w:p>
    <w:p>
      <w:pPr>
        <w:autoSpaceDE w:val="0"/>
        <w:autoSpaceDN w:val="0"/>
        <w:pStyle w:val="Heading2"/>
      </w:pPr>
      <w:r>
        <w:rPr>
          <w:rFonts w:ascii="맑은 고딕" w:hAnsi="맑은 고딕"/>
        </w:rPr>
        <w:t>제약식의 항별 의미</w:t>
      </w:r>
    </w:p>
    <w:p>
      <w:pPr>
        <w:autoSpaceDE w:val="0"/>
        <w:autoSpaceDN w:val="0"/>
        <w:spacing w:after="80"/>
        <w:ind w:left="340"/>
      </w:pPr>
      <w:r>
        <w:rPr>
          <w:rFonts w:ascii="Menlo" w:hAnsi="Menlo"/>
          <w:sz w:val="17"/>
        </w:rPr>
        <w:t>(2)  Σ_{r∈R} x_jr = 1,  ∀j ∈ J</w:t>
      </w:r>
    </w:p>
    <w:p>
      <w:pPr>
        <w:autoSpaceDE w:val="0"/>
        <w:autoSpaceDN w:val="0"/>
        <w:jc w:val="both"/>
      </w:pPr>
      <w:r>
        <w:rPr>
          <w:i w:val="0"/>
          <w:sz w:val="20"/>
        </w:rPr>
        <w:t>모든 작업이 정확히 한 리전에 배정된다. 미배정을 허용하지 않는다는 뜻이며, 실측에서도 미배정은 0건이었다.</w:t>
      </w:r>
    </w:p>
    <w:p>
      <w:pPr>
        <w:autoSpaceDE w:val="0"/>
        <w:autoSpaceDN w:val="0"/>
        <w:spacing w:after="80"/>
        <w:ind w:left="340"/>
      </w:pPr>
      <w:r>
        <w:rPr>
          <w:rFonts w:ascii="Menlo" w:hAnsi="Menlo"/>
          <w:sz w:val="17"/>
        </w:rPr>
        <w:t>(3)  |{ j : r(j)=r, τ_j ≤ t &lt; τ_j+d_j }| ≤ ⌊η·cap_r⌋,  ∀r, ∀t</w:t>
      </w:r>
    </w:p>
    <w:p>
      <w:pPr>
        <w:autoSpaceDE w:val="0"/>
        <w:autoSpaceDN w:val="0"/>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autoSpaceDE w:val="0"/>
        <w:autoSpaceDN w:val="0"/>
        <w:spacing w:after="80"/>
        <w:ind w:left="340"/>
      </w:pPr>
      <w:r>
        <w:rPr>
          <w:rFonts w:ascii="Menlo" w:hAnsi="Menlo"/>
          <w:sz w:val="17"/>
        </w:rPr>
        <w:t>(4)  s_j ≤ τ_j,   τ_j + d_j ≤ D_j,  ∀j</w:t>
      </w:r>
    </w:p>
    <w:p>
      <w:pPr>
        <w:autoSpaceDE w:val="0"/>
        <w:autoSpaceDN w:val="0"/>
        <w:jc w:val="both"/>
      </w:pPr>
      <w:r>
        <w:rPr>
          <w:i w:val="0"/>
          <w:sz w:val="20"/>
        </w:rPr>
        <w:t>실행은 제출 이후에 시작하고 마감 이내에 끝난다.</w:t>
      </w:r>
    </w:p>
    <w:p>
      <w:pPr>
        <w:autoSpaceDE w:val="0"/>
        <w:autoSpaceDN w:val="0"/>
        <w:spacing w:after="80"/>
        <w:ind w:left="340"/>
      </w:pPr>
      <w:r>
        <w:rPr>
          <w:rFonts w:ascii="Menlo" w:hAnsi="Menlo"/>
          <w:sz w:val="17"/>
        </w:rPr>
        <w:t>(5)  (τ_j − s_j) + ℓ_{o_j r(j)} ≤ L_j,  ∀j</w:t>
      </w:r>
    </w:p>
    <w:p>
      <w:pPr>
        <w:autoSpaceDE w:val="0"/>
        <w:autoSpaceDN w:val="0"/>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autoSpaceDE w:val="0"/>
        <w:autoSpaceDN w:val="0"/>
        <w:pStyle w:val="Heading2"/>
      </w:pPr>
      <w:r>
        <w:rPr>
          <w:rFonts w:ascii="맑은 고딕" w:hAnsi="맑은 고딕"/>
        </w:rPr>
        <w:t>하나의 정수 계획으로 풀지 않은 까닭</w:t>
      </w:r>
    </w:p>
    <w:p>
      <w:pPr>
        <w:autoSpaceDE w:val="0"/>
        <w:autoSpaceDN w:val="0"/>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autoSpaceDE w:val="0"/>
        <w:autoSpaceDN w:val="0"/>
        <w:pStyle w:val="Heading2"/>
      </w:pPr>
      <w:r>
        <w:rPr>
          <w:rFonts w:ascii="맑은 고딕" w:hAnsi="맑은 고딕"/>
        </w:rPr>
        <w:t>실행 가능성 판정</w:t>
      </w:r>
    </w:p>
    <w:p>
      <w:pPr>
        <w:autoSpaceDE w:val="0"/>
        <w:autoSpaceDN w:val="0"/>
        <w:spacing w:after="80"/>
        <w:ind w:left="340"/>
      </w:pPr>
      <w:r>
        <w:rPr>
          <w:rFonts w:ascii="Menlo" w:hAnsi="Menlo"/>
          <w:sz w:val="17"/>
        </w:rPr>
        <w:t>feasible(j, t′)  ⟺  min a_{r(j)}(u) ≥ 1,   u ∈ [t′, t′+d_j)</w:t>
      </w:r>
    </w:p>
    <w:p>
      <w:pPr>
        <w:autoSpaceDE w:val="0"/>
        <w:autoSpaceDN w:val="0"/>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autoSpaceDE w:val="0"/>
        <w:autoSpaceDN w:val="0"/>
        <w:pStyle w:val="Heading2"/>
      </w:pPr>
      <w:r>
        <w:rPr>
          <w:rFonts w:ascii="맑은 고딕" w:hAnsi="맑은 고딕"/>
        </w:rPr>
        <w:t>용량을 보지 않고 지나가는 경로</w:t>
      </w:r>
    </w:p>
    <w:p>
      <w:pPr>
        <w:autoSpaceDE w:val="0"/>
        <w:autoSpaceDN w:val="0"/>
        <w:jc w:val="both"/>
      </w:pPr>
      <w:r>
        <w:rPr>
          <w:i w:val="0"/>
          <w:sz w:val="20"/>
        </w:rPr>
        <w:t>Algorithm 1 의 4번 줄은 도착 시점에 ⌊D_j − d_j⌋ ≤ ⌊s_j⌋ 인 작업을 큐에 넣지 않고 바로 실행한다. 정수 슬롯 격자 위에 제출 시각의 슬롯 말고는 후보가 없다는 뜻이며, 지연 예산이 슬롯 길이인 1시간보다 짧은 작업(등급 3·4·5)이 대부분 여기 해당한다. 146,000건 가운데 86,292건(59.1%)이 이 경로로 간다.</w:t>
      </w:r>
    </w:p>
    <w:p>
      <w:pPr>
        <w:autoSpaceDE w:val="0"/>
        <w:autoSpaceDN w:val="0"/>
        <w:jc w:val="both"/>
      </w:pPr>
      <w:r>
        <w:rPr>
          <w:i w:val="0"/>
          <w:sz w:val="20"/>
        </w:rPr>
        <w:t>이 경로는 용량을 확인하지 않는다. 옮길 자리가 없는 작업을 막으면 마감을 넘기는 수밖에 없는데, 본 설계는 마감을 하드 제약으로 두기 때문이다. 상한 위반이 여기서 나온다 — 전체 227건을 경로별로 나누면 다음과 같다.</w:t>
      </w:r>
    </w:p>
    <w:p>
      <w:pPr>
        <w:autoSpaceDE w:val="0"/>
        <w:autoSpaceDN w:val="0"/>
        <w:spacing w:before="120" w:after="40"/>
        <w:jc w:val="center"/>
      </w:pPr>
      <w:r>
        <w:rPr>
          <w:b/>
          <w:sz w:val="17"/>
        </w:rPr>
        <w:t>표 S12. 상한 위반 227건의 경로별 분해</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경로</w:t>
            </w:r>
          </w:p>
        </w:tc>
        <w:tc>
          <w:tcPr>
            <w:tcW w:type="dxa" w:w="3173"/>
          </w:tcPr>
          <w:p>
            <w:pPr>
              <w:autoSpaceDE w:val="0"/>
              <w:autoSpaceDN w:val="0"/>
              <w:jc w:val="right"/>
            </w:pPr>
            <w:r/>
            <w:r>
              <w:rPr>
                <w:b/>
                <w:sz w:val="17"/>
              </w:rPr>
              <w:t>위반 건수</w:t>
            </w:r>
          </w:p>
        </w:tc>
        <w:tc>
          <w:tcPr>
            <w:tcW w:type="dxa" w:w="3173"/>
          </w:tcPr>
          <w:p>
            <w:pPr>
              <w:autoSpaceDE w:val="0"/>
              <w:autoSpaceDN w:val="0"/>
            </w:pPr>
            <w:r/>
            <w:r>
              <w:rPr>
                <w:b/>
                <w:sz w:val="17"/>
              </w:rPr>
              <w:t>무엇인가</w:t>
            </w:r>
          </w:p>
        </w:tc>
      </w:tr>
      <w:tr>
        <w:tc>
          <w:tcPr>
            <w:tcW w:type="dxa" w:w="3173"/>
          </w:tcPr>
          <w:p>
            <w:pPr>
              <w:autoSpaceDE w:val="0"/>
              <w:autoSpaceDN w:val="0"/>
            </w:pPr>
            <w:r/>
            <w:r>
              <w:rPr>
                <w:b w:val="0"/>
                <w:sz w:val="17"/>
              </w:rPr>
              <w:t>마감 직전 강제 편입 (F)</w:t>
            </w:r>
          </w:p>
        </w:tc>
        <w:tc>
          <w:tcPr>
            <w:tcW w:type="dxa" w:w="3173"/>
          </w:tcPr>
          <w:p>
            <w:pPr>
              <w:autoSpaceDE w:val="0"/>
              <w:autoSpaceDN w:val="0"/>
              <w:jc w:val="right"/>
            </w:pPr>
            <w:r/>
            <w:r>
              <w:rPr>
                <w:b w:val="0"/>
                <w:sz w:val="17"/>
              </w:rPr>
              <w:t>106</w:t>
            </w:r>
          </w:p>
        </w:tc>
        <w:tc>
          <w:tcPr>
            <w:tcW w:type="dxa" w:w="3173"/>
          </w:tcPr>
          <w:p>
            <w:pPr>
              <w:autoSpaceDE w:val="0"/>
              <w:autoSpaceDN w:val="0"/>
            </w:pPr>
            <w:r/>
            <w:r>
              <w:rPr>
                <w:b w:val="0"/>
                <w:sz w:val="17"/>
              </w:rPr>
              <w:t>u_j(t) &lt; 1 이라 이번 슬롯이 마지막 기회</w:t>
            </w:r>
          </w:p>
        </w:tc>
      </w:tr>
      <w:tr>
        <w:tc>
          <w:tcPr>
            <w:tcW w:type="dxa" w:w="3173"/>
          </w:tcPr>
          <w:p>
            <w:pPr>
              <w:autoSpaceDE w:val="0"/>
              <w:autoSpaceDN w:val="0"/>
            </w:pPr>
            <w:r/>
            <w:r>
              <w:rPr>
                <w:b w:val="0"/>
                <w:sz w:val="17"/>
              </w:rPr>
              <w:t>즉시 실행 (4번 줄)</w:t>
            </w:r>
          </w:p>
        </w:tc>
        <w:tc>
          <w:tcPr>
            <w:tcW w:type="dxa" w:w="3173"/>
          </w:tcPr>
          <w:p>
            <w:pPr>
              <w:autoSpaceDE w:val="0"/>
              <w:autoSpaceDN w:val="0"/>
              <w:jc w:val="right"/>
            </w:pPr>
            <w:r/>
            <w:r>
              <w:rPr>
                <w:b w:val="0"/>
                <w:sz w:val="17"/>
              </w:rPr>
              <w:t>121</w:t>
            </w:r>
          </w:p>
        </w:tc>
        <w:tc>
          <w:tcPr>
            <w:tcW w:type="dxa" w:w="3173"/>
          </w:tcPr>
          <w:p>
            <w:pPr>
              <w:autoSpaceDE w:val="0"/>
              <w:autoSpaceDN w:val="0"/>
            </w:pPr>
            <w:r/>
            <w:r>
              <w:rPr>
                <w:b w:val="0"/>
                <w:sz w:val="17"/>
              </w:rPr>
              <w:t>정수 격자에 다른 후보가 없음</w:t>
            </w:r>
          </w:p>
        </w:tc>
      </w:tr>
      <w:tr>
        <w:tc>
          <w:tcPr>
            <w:tcW w:type="dxa" w:w="3173"/>
          </w:tcPr>
          <w:p>
            <w:pPr>
              <w:autoSpaceDE w:val="0"/>
              <w:autoSpaceDN w:val="0"/>
            </w:pPr>
            <w:r/>
            <w:r>
              <w:rPr>
                <w:b w:val="0"/>
                <w:sz w:val="17"/>
              </w:rPr>
              <w:t>용량 확인 후 배정 (P)</w:t>
            </w:r>
          </w:p>
        </w:tc>
        <w:tc>
          <w:tcPr>
            <w:tcW w:type="dxa" w:w="3173"/>
          </w:tcPr>
          <w:p>
            <w:pPr>
              <w:autoSpaceDE w:val="0"/>
              <w:autoSpaceDN w:val="0"/>
              <w:jc w:val="right"/>
            </w:pPr>
            <w:r/>
            <w:r>
              <w:rPr>
                <w:b w:val="0"/>
                <w:sz w:val="17"/>
              </w:rPr>
              <w:t>0</w:t>
            </w:r>
          </w:p>
        </w:tc>
        <w:tc>
          <w:tcPr>
            <w:tcW w:type="dxa" w:w="3173"/>
          </w:tcPr>
          <w:p>
            <w:pPr>
              <w:autoSpaceDE w:val="0"/>
              <w:autoSpaceDN w:val="0"/>
            </w:pPr>
            <w:r/>
            <w:r>
              <w:rPr>
                <w:b w:val="0"/>
                <w:sz w:val="17"/>
              </w:rPr>
              <w:t>상한에 도달한 슬롯을 미리 제외한 경로</w:t>
            </w:r>
          </w:p>
        </w:tc>
      </w:tr>
    </w:tbl>
    <w:p/>
    <w:p>
      <w:pPr>
        <w:autoSpaceDE w:val="0"/>
        <w:autoSpaceDN w:val="0"/>
        <w:jc w:val="both"/>
      </w:pPr>
      <w:r>
        <w:rPr>
          <w:i w:val="0"/>
          <w:sz w:val="20"/>
        </w:rPr>
        <w:t>용량을 확인하고 배정한 경로에서는 한 건도 나오지 않는다. 남은 227건은 알고리즘이 놓친 것이 아니라 마감을 지키기 위해 의도적으로 양보한 것이다.</w:t>
      </w:r>
    </w:p>
    <w:p>
      <w:pPr>
        <w:autoSpaceDE w:val="0"/>
        <w:autoSpaceDN w:val="0"/>
        <w:pStyle w:val="Heading2"/>
      </w:pPr>
      <w:r>
        <w:rPr>
          <w:rFonts w:ascii="맑은 고딕" w:hAnsi="맑은 고딕"/>
        </w:rPr>
        <w:t>우선순위를 순수 EDF 로 둔 까닭</w:t>
      </w:r>
    </w:p>
    <w:p>
      <w:pPr>
        <w:autoSpaceDE w:val="0"/>
        <w:autoSpaceDN w:val="0"/>
        <w:jc w:val="both"/>
      </w:pPr>
      <w:r>
        <w:rPr>
          <w:i w:val="0"/>
          <w:sz w:val="20"/>
        </w:rPr>
        <w:t>탄소 이득으로 정렬하면 나중에 측정할 지표로 지금 순서를 정하는 순환 논리가 된다. 남은 여유가 가장 적은 작업을 먼저 넣으면 여유가 0인 작업이 자동으로 1순위가 되어 별도의 예외 규칙도 필요 없다. 다만 마감 임박 집합 F_r(t) 는 후보 집합 P_r(t) 가 아니라 대기 집합 Q(t) 전체에서 고른다 — 그러지 않으면 지금이 최선이 아닌 마감 임박 작업이 후보에서 빠져 무한정 밀릴 수 있다.</w:t>
      </w:r>
    </w:p>
    <w:p>
      <w:pPr>
        <w:autoSpaceDE w:val="0"/>
        <w:autoSpaceDN w:val="0"/>
        <w:pStyle w:val="Heading2"/>
      </w:pPr>
      <w:r>
        <w:rPr>
          <w:rFonts w:ascii="맑은 고딕" w:hAnsi="맑은 고딕"/>
        </w:rPr>
        <w:t>종료와 마감에 대한 보장</w:t>
      </w:r>
    </w:p>
    <w:p>
      <w:pPr>
        <w:autoSpaceDE w:val="0"/>
        <w:autoSpaceDN w:val="0"/>
        <w:jc w:val="both"/>
      </w:pPr>
      <w:r>
        <w:rPr>
          <w:i w:val="0"/>
          <w:sz w:val="20"/>
        </w:rPr>
        <w:t>슬롯이 하나 지날 때마다 u_j(t) 는 정확히 1씩 줄고 시작 값이 유한하므로, 유한한 슬롯 안에 u_j(t) &lt; 1 에 도달해 F_r(t) 에 편입되며 용량과 무관하게 실행이 확정된다 — 어떤 작업도 무한히 연기되지 않는다. 또 후보 슬롯은 애초에 D_j − d_j 이하로만 잡히므로 마감을 넘긴 배정은 탐색 공간에 존재하지 않는다. 두 보장은 서로 독립이며, 전자는 용량이 아무리 빡빡해도 성립한다.</w:t>
      </w:r>
    </w:p>
    <w:p>
      <w:pPr>
        <w:autoSpaceDE w:val="0"/>
        <w:autoSpaceDN w:val="0"/>
        <w:pStyle w:val="Heading2"/>
      </w:pPr>
      <w:r>
        <w:rPr>
          <w:rFonts w:ascii="맑은 고딕" w:hAnsi="맑은 고딕"/>
        </w:rPr>
        <w:t>공간 이동의 식 (6)~(9)</w:t>
      </w:r>
    </w:p>
    <w:p>
      <w:pPr>
        <w:autoSpaceDE w:val="0"/>
        <w:autoSpaceDN w:val="0"/>
        <w:spacing w:after="80"/>
        <w:ind w:left="340"/>
      </w:pPr>
      <w:r>
        <w:rPr>
          <w:rFonts w:ascii="Menlo" w:hAnsi="Menlo"/>
          <w:sz w:val="17"/>
        </w:rPr>
        <w:t>(6)  C̃_r = Ĉ_r / max_r' Ĉ_r',    ℓ̃_or = ℓ_or / 244</w:t>
      </w:r>
    </w:p>
    <w:p>
      <w:pPr>
        <w:autoSpaceDE w:val="0"/>
        <w:autoSpaceDN w:val="0"/>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autoSpaceDE w:val="0"/>
        <w:autoSpaceDN w:val="0"/>
        <w:spacing w:after="80"/>
        <w:ind w:left="340"/>
      </w:pPr>
      <w:r>
        <w:rPr>
          <w:rFonts w:ascii="Menlo" w:hAnsi="Menlo"/>
          <w:sz w:val="17"/>
        </w:rPr>
        <w:t>(7)  min Σ_j Σ_r ( α·C̃_r + (1−α)·ℓ̃_{o_j r} )·x_jr + P_slack·Σ_j z_j</w:t>
      </w:r>
    </w:p>
    <w:p>
      <w:pPr>
        <w:autoSpaceDE w:val="0"/>
        <w:autoSpaceDN w:val="0"/>
        <w:spacing w:after="80"/>
        <w:ind w:left="340"/>
      </w:pPr>
      <w:r>
        <w:rPr>
          <w:rFonts w:ascii="Menlo" w:hAnsi="Menlo"/>
          <w:sz w:val="17"/>
        </w:rPr>
        <w:t>(8)  Σ_r x_jr + z_j = 1  ∀j,    Σ_j x_jr ≤ a_r  ∀r</w:t>
      </w:r>
    </w:p>
    <w:p>
      <w:pPr>
        <w:autoSpaceDE w:val="0"/>
        <w:autoSpaceDN w:val="0"/>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autoSpaceDE w:val="0"/>
        <w:autoSpaceDN w:val="0"/>
        <w:spacing w:after="80"/>
        <w:ind w:left="340"/>
      </w:pPr>
      <w:r>
        <w:rPr>
          <w:rFonts w:ascii="Menlo" w:hAnsi="Menlo"/>
          <w:sz w:val="17"/>
        </w:rPr>
        <w:t>(9)  α* = arg min_α √( λ̃(α)² + μ̃(α)² )</w:t>
      </w:r>
    </w:p>
    <w:p>
      <w:pPr>
        <w:autoSpaceDE w:val="0"/>
        <w:autoSpaceDN w:val="0"/>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autoSpaceDE w:val="0"/>
        <w:autoSpaceDN w:val="0"/>
        <w:pStyle w:val="Heading2"/>
      </w:pPr>
      <w:r>
        <w:rPr>
          <w:rFonts w:ascii="맑은 고딕" w:hAnsi="맑은 고딕"/>
        </w:rPr>
        <w:t>시간 이동의 식 (10)~(11)</w:t>
      </w:r>
    </w:p>
    <w:p>
      <w:pPr>
        <w:autoSpaceDE w:val="0"/>
        <w:autoSpaceDN w:val="0"/>
        <w:spacing w:after="80"/>
        <w:ind w:left="340"/>
      </w:pPr>
      <w:r>
        <w:rPr>
          <w:rFonts w:ascii="Menlo" w:hAnsi="Menlo"/>
          <w:sz w:val="17"/>
        </w:rPr>
        <w:t>(10)  C̄(t) = (C(t) − C_min)/(C_max − C_min),   D̄(t) = (t − t_early)/(t_late − t_early)</w:t>
      </w:r>
    </w:p>
    <w:p>
      <w:pPr>
        <w:autoSpaceDE w:val="0"/>
        <w:autoSpaceDN w:val="0"/>
        <w:spacing w:after="80"/>
        <w:ind w:left="340"/>
      </w:pPr>
      <w:r>
        <w:rPr>
          <w:rFonts w:ascii="Menlo" w:hAnsi="Menlo"/>
          <w:sz w:val="17"/>
        </w:rPr>
        <w:t>(11)  score(t) = α(k)·C̄(t) + (1−α(k))·D̄(t),   α(k) = (6 − k)/5</w:t>
      </w:r>
    </w:p>
    <w:p>
      <w:pPr>
        <w:autoSpaceDE w:val="0"/>
        <w:autoSpaceDN w:val="0"/>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autoSpaceDE w:val="0"/>
        <w:autoSpaceDN w:val="0"/>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autoSpaceDE w:val="0"/>
        <w:autoSpaceDN w:val="0"/>
        <w:pStyle w:val="Heading2"/>
      </w:pPr>
      <w:r>
        <w:rPr>
          <w:rFonts w:ascii="맑은 고딕" w:hAnsi="맑은 고딕"/>
        </w:rPr>
        <w:t>탄소 회계의 식 (15)</w:t>
      </w:r>
    </w:p>
    <w:p>
      <w:pPr>
        <w:autoSpaceDE w:val="0"/>
        <w:autoSpaceDN w:val="0"/>
        <w:spacing w:after="80"/>
        <w:ind w:left="340"/>
      </w:pPr>
      <w:r>
        <w:rPr>
          <w:rFonts w:ascii="Menlo" w:hAnsi="Menlo"/>
          <w:sz w:val="17"/>
        </w:rPr>
        <w:t>(15)  E_j = P · ∫_{τ_j}^{τ_j+d_j} C_{r(j)}(t) dt</w:t>
      </w:r>
    </w:p>
    <w:p>
      <w:pPr>
        <w:autoSpaceDE w:val="0"/>
        <w:autoSpaceDN w:val="0"/>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autoSpaceDE w:val="0"/>
        <w:autoSpaceDN w:val="0"/>
        <w:spacing w:after="80"/>
        <w:ind w:left="340"/>
      </w:pPr>
      <w:r>
        <w:rPr>
          <w:rFonts w:ascii="Menlo" w:hAnsi="Menlo"/>
          <w:sz w:val="17"/>
        </w:rPr>
        <w:t>E_j  ≈  P · d_j · mean( C_r[ a … a+n-1 ] )</w:t>
      </w:r>
    </w:p>
    <w:p>
      <w:pPr>
        <w:autoSpaceDE w:val="0"/>
        <w:autoSpaceDN w:val="0"/>
        <w:spacing w:after="80"/>
        <w:ind w:left="340"/>
      </w:pPr>
      <w:r>
        <w:rPr>
          <w:rFonts w:ascii="Menlo" w:hAnsi="Menlo"/>
          <w:sz w:val="17"/>
        </w:rPr>
        <w:t xml:space="preserve">      a = floor(τ_j),   n = max(1, ceil(d_j))</w:t>
      </w:r>
    </w:p>
    <w:p>
      <w:pPr>
        <w:autoSpaceDE w:val="0"/>
        <w:autoSpaceDN w:val="0"/>
        <w:jc w:val="both"/>
      </w:pPr>
      <w:r>
        <w:rPr>
          <w:i w:val="0"/>
          <w:sz w:val="20"/>
        </w:rPr>
        <w:t>scheduler/timeshift.py 의 mean_carbon 과 scheduler/capacity.py 의 _Windows.actual_mean 이 이 계산이며, 표 2의 네 행과 표 5의 선행 정책이 모두 이 함수를 통과한다.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autoSpaceDE w:val="0"/>
        <w:autoSpaceDN w:val="0"/>
        <w:pStyle w:val="Heading3"/>
      </w:pPr>
      <w:r>
        <w:rPr>
          <w:rFonts w:ascii="맑은 고딕" w:hAnsi="맑은 고딕"/>
        </w:rPr>
        <w:t>슬롯 근사가 결과를 바꾸지 않음을 확인한 표</w:t>
      </w:r>
    </w:p>
    <w:p>
      <w:pPr>
        <w:autoSpaceDE w:val="0"/>
        <w:autoSpaceDN w:val="0"/>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p>
      <w:pPr>
        <w:autoSpaceDE w:val="0"/>
        <w:autoSpaceDN w:val="0"/>
        <w:spacing w:before="120" w:after="40"/>
        <w:jc w:val="center"/>
      </w:pPr>
      <w:r>
        <w:rPr>
          <w:b/>
          <w:sz w:val="17"/>
        </w:rPr>
        <w:t>표 S10. 표 2의 세 단계를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단계</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차</w:t>
            </w:r>
          </w:p>
        </w:tc>
        <w:tc>
          <w:tcPr>
            <w:tcW w:type="dxa" w:w="1904"/>
          </w:tcPr>
          <w:p>
            <w:pPr>
              <w:autoSpaceDE w:val="0"/>
              <w:autoSpaceDN w:val="0"/>
            </w:pPr>
            <w:r/>
            <w:r>
              <w:rPr>
                <w:b/>
                <w:sz w:val="17"/>
              </w:rPr>
              <w:t>절감률 (구현 / 정확)</w:t>
            </w:r>
          </w:p>
        </w:tc>
      </w:tr>
      <w:tr>
        <w:tc>
          <w:tcPr>
            <w:tcW w:type="dxa" w:w="1904"/>
          </w:tcPr>
          <w:p>
            <w:pPr>
              <w:autoSpaceDE w:val="0"/>
              <w:autoSpaceDN w:val="0"/>
            </w:pPr>
            <w:r/>
            <w:r>
              <w:rPr>
                <w:b w:val="0"/>
                <w:sz w:val="17"/>
              </w:rPr>
              <w:t>② 공간 이동만</w:t>
            </w:r>
          </w:p>
        </w:tc>
        <w:tc>
          <w:tcPr>
            <w:tcW w:type="dxa" w:w="1904"/>
          </w:tcPr>
          <w:p>
            <w:pPr>
              <w:autoSpaceDE w:val="0"/>
              <w:autoSpaceDN w:val="0"/>
              <w:jc w:val="right"/>
            </w:pPr>
            <w:r/>
            <w:r>
              <w:rPr>
                <w:b w:val="0"/>
                <w:sz w:val="17"/>
              </w:rPr>
              <w:t>12,609.8 kg</w:t>
            </w:r>
          </w:p>
        </w:tc>
        <w:tc>
          <w:tcPr>
            <w:tcW w:type="dxa" w:w="1904"/>
          </w:tcPr>
          <w:p>
            <w:pPr>
              <w:autoSpaceDE w:val="0"/>
              <w:autoSpaceDN w:val="0"/>
              <w:jc w:val="right"/>
            </w:pPr>
            <w:r/>
            <w:r>
              <w:rPr>
                <w:b w:val="0"/>
                <w:sz w:val="17"/>
              </w:rPr>
              <w:t>12,592.4 kg</w:t>
            </w:r>
          </w:p>
        </w:tc>
        <w:tc>
          <w:tcPr>
            <w:tcW w:type="dxa" w:w="1904"/>
          </w:tcPr>
          <w:p>
            <w:pPr>
              <w:autoSpaceDE w:val="0"/>
              <w:autoSpaceDN w:val="0"/>
            </w:pPr>
            <w:r/>
            <w:r>
              <w:rPr>
                <w:b w:val="0"/>
                <w:sz w:val="17"/>
              </w:rPr>
              <w:t>+0.138%</w:t>
            </w:r>
          </w:p>
        </w:tc>
        <w:tc>
          <w:tcPr>
            <w:tcW w:type="dxa" w:w="1904"/>
          </w:tcPr>
          <w:p>
            <w:pPr>
              <w:autoSpaceDE w:val="0"/>
              <w:autoSpaceDN w:val="0"/>
            </w:pPr>
            <w:r/>
            <w:r>
              <w:rPr>
                <w:b w:val="0"/>
                <w:sz w:val="17"/>
              </w:rPr>
              <w:t>56.85% / 56.91%</w:t>
            </w:r>
          </w:p>
        </w:tc>
      </w:tr>
      <w:tr>
        <w:tc>
          <w:tcPr>
            <w:tcW w:type="dxa" w:w="1904"/>
          </w:tcPr>
          <w:p>
            <w:pPr>
              <w:autoSpaceDE w:val="0"/>
              <w:autoSpaceDN w:val="0"/>
            </w:pPr>
            <w:r/>
            <w:r>
              <w:rPr>
                <w:b w:val="0"/>
                <w:sz w:val="17"/>
              </w:rPr>
              <w:t>③ + 시간 무제약</w:t>
            </w:r>
          </w:p>
        </w:tc>
        <w:tc>
          <w:tcPr>
            <w:tcW w:type="dxa" w:w="1904"/>
          </w:tcPr>
          <w:p>
            <w:pPr>
              <w:autoSpaceDE w:val="0"/>
              <w:autoSpaceDN w:val="0"/>
              <w:jc w:val="right"/>
            </w:pPr>
            <w:r/>
            <w:r>
              <w:rPr>
                <w:b w:val="0"/>
                <w:sz w:val="17"/>
              </w:rPr>
              <w:t>9,958.2 kg</w:t>
            </w:r>
          </w:p>
        </w:tc>
        <w:tc>
          <w:tcPr>
            <w:tcW w:type="dxa" w:w="1904"/>
          </w:tcPr>
          <w:p>
            <w:pPr>
              <w:autoSpaceDE w:val="0"/>
              <w:autoSpaceDN w:val="0"/>
              <w:jc w:val="right"/>
            </w:pPr>
            <w:r/>
            <w:r>
              <w:rPr>
                <w:b w:val="0"/>
                <w:sz w:val="17"/>
              </w:rPr>
              <w:t>9,989.7 kg</w:t>
            </w:r>
          </w:p>
        </w:tc>
        <w:tc>
          <w:tcPr>
            <w:tcW w:type="dxa" w:w="1904"/>
          </w:tcPr>
          <w:p>
            <w:pPr>
              <w:autoSpaceDE w:val="0"/>
              <w:autoSpaceDN w:val="0"/>
            </w:pPr>
            <w:r/>
            <w:r>
              <w:rPr>
                <w:b w:val="0"/>
                <w:sz w:val="17"/>
              </w:rPr>
              <w:t>−0.315%</w:t>
            </w:r>
          </w:p>
        </w:tc>
        <w:tc>
          <w:tcPr>
            <w:tcW w:type="dxa" w:w="1904"/>
          </w:tcPr>
          <w:p>
            <w:pPr>
              <w:autoSpaceDE w:val="0"/>
              <w:autoSpaceDN w:val="0"/>
            </w:pPr>
            <w:r/>
            <w:r>
              <w:rPr>
                <w:b w:val="0"/>
                <w:sz w:val="17"/>
              </w:rPr>
              <w:t>65.93% / 65.82%</w:t>
            </w:r>
          </w:p>
        </w:tc>
      </w:tr>
      <w:tr>
        <w:tc>
          <w:tcPr>
            <w:tcW w:type="dxa" w:w="1904"/>
          </w:tcPr>
          <w:p>
            <w:pPr>
              <w:autoSpaceDE w:val="0"/>
              <w:autoSpaceDN w:val="0"/>
            </w:pPr>
            <w:r/>
            <w:r>
              <w:rPr>
                <w:b w:val="0"/>
                <w:sz w:val="17"/>
              </w:rPr>
              <w:t>④ + 시간 용량 인지</w:t>
            </w:r>
          </w:p>
        </w:tc>
        <w:tc>
          <w:tcPr>
            <w:tcW w:type="dxa" w:w="1904"/>
          </w:tcPr>
          <w:p>
            <w:pPr>
              <w:autoSpaceDE w:val="0"/>
              <w:autoSpaceDN w:val="0"/>
              <w:jc w:val="right"/>
            </w:pPr>
            <w:r/>
            <w:r>
              <w:rPr>
                <w:b w:val="0"/>
                <w:sz w:val="17"/>
              </w:rPr>
              <w:t>10,805.0 kg</w:t>
            </w:r>
          </w:p>
        </w:tc>
        <w:tc>
          <w:tcPr>
            <w:tcW w:type="dxa" w:w="1904"/>
          </w:tcPr>
          <w:p>
            <w:pPr>
              <w:autoSpaceDE w:val="0"/>
              <w:autoSpaceDN w:val="0"/>
              <w:jc w:val="right"/>
            </w:pPr>
            <w:r/>
            <w:r>
              <w:rPr>
                <w:b w:val="0"/>
                <w:sz w:val="17"/>
              </w:rPr>
              <w:t>10,805.1 kg</w:t>
            </w:r>
          </w:p>
        </w:tc>
        <w:tc>
          <w:tcPr>
            <w:tcW w:type="dxa" w:w="1904"/>
          </w:tcPr>
          <w:p>
            <w:pPr>
              <w:autoSpaceDE w:val="0"/>
              <w:autoSpaceDN w:val="0"/>
            </w:pPr>
            <w:r/>
            <w:r>
              <w:rPr>
                <w:b w:val="0"/>
                <w:sz w:val="17"/>
              </w:rPr>
              <w:t>−0.001%</w:t>
            </w:r>
          </w:p>
        </w:tc>
        <w:tc>
          <w:tcPr>
            <w:tcW w:type="dxa" w:w="1904"/>
          </w:tcPr>
          <w:p>
            <w:pPr>
              <w:autoSpaceDE w:val="0"/>
              <w:autoSpaceDN w:val="0"/>
            </w:pPr>
            <w:r/>
            <w:r>
              <w:rPr>
                <w:b w:val="0"/>
                <w:sz w:val="17"/>
              </w:rPr>
              <w:t>63.03% / 63.03%</w:t>
            </w:r>
          </w:p>
        </w:tc>
      </w:tr>
    </w:tbl>
    <w:p/>
    <w:p>
      <w:pPr>
        <w:autoSpaceDE w:val="0"/>
        <w:autoSpaceDN w:val="0"/>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autoSpaceDE w:val="0"/>
        <w:autoSpaceDN w:val="0"/>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p>
      <w:pPr>
        <w:autoSpaceDE w:val="0"/>
        <w:autoSpaceDN w:val="0"/>
        <w:spacing w:before="120" w:after="40"/>
        <w:jc w:val="center"/>
      </w:pPr>
      <w:r>
        <w:rPr>
          <w:b/>
          <w:sz w:val="17"/>
        </w:rPr>
        <w:t>표 S11. 표 5의 선행 정책을 두 회계로 다시 채점한 결과</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배출량 차</w:t>
            </w:r>
          </w:p>
        </w:tc>
        <w:tc>
          <w:tcPr>
            <w:tcW w:type="dxa" w:w="1904"/>
          </w:tcPr>
          <w:p>
            <w:pPr>
              <w:autoSpaceDE w:val="0"/>
              <w:autoSpaceDN w:val="0"/>
            </w:pPr>
            <w:r/>
            <w:r>
              <w:rPr>
                <w:b/>
                <w:sz w:val="17"/>
              </w:rPr>
              <w:t>절감률 차</w:t>
            </w:r>
          </w:p>
        </w:tc>
      </w:tr>
      <w:tr>
        <w:tc>
          <w:tcPr>
            <w:tcW w:type="dxa" w:w="1904"/>
          </w:tcPr>
          <w:p>
            <w:pPr>
              <w:autoSpaceDE w:val="0"/>
              <w:autoSpaceDN w:val="0"/>
            </w:pPr>
            <w:r/>
            <w:r>
              <w:rPr>
                <w:b w:val="0"/>
                <w:sz w:val="17"/>
              </w:rPr>
              <w:t>CASPER (CAP, α=0.9)</w:t>
            </w:r>
          </w:p>
        </w:tc>
        <w:tc>
          <w:tcPr>
            <w:tcW w:type="dxa" w:w="1904"/>
          </w:tcPr>
          <w:p>
            <w:pPr>
              <w:autoSpaceDE w:val="0"/>
              <w:autoSpaceDN w:val="0"/>
              <w:jc w:val="right"/>
            </w:pPr>
            <w:r/>
            <w:r>
              <w:rPr>
                <w:b w:val="0"/>
                <w:sz w:val="17"/>
              </w:rPr>
              <w:t>1,379.1 kg</w:t>
            </w:r>
          </w:p>
        </w:tc>
        <w:tc>
          <w:tcPr>
            <w:tcW w:type="dxa" w:w="1904"/>
          </w:tcPr>
          <w:p>
            <w:pPr>
              <w:autoSpaceDE w:val="0"/>
              <w:autoSpaceDN w:val="0"/>
              <w:jc w:val="right"/>
            </w:pPr>
            <w:r/>
            <w:r>
              <w:rPr>
                <w:b w:val="0"/>
                <w:sz w:val="17"/>
              </w:rPr>
              <w:t>1,380.7 kg</w:t>
            </w:r>
          </w:p>
        </w:tc>
        <w:tc>
          <w:tcPr>
            <w:tcW w:type="dxa" w:w="1904"/>
          </w:tcPr>
          <w:p>
            <w:pPr>
              <w:autoSpaceDE w:val="0"/>
              <w:autoSpaceDN w:val="0"/>
            </w:pPr>
            <w:r/>
            <w:r>
              <w:rPr>
                <w:b w:val="0"/>
                <w:sz w:val="17"/>
              </w:rPr>
              <w:t>+0.117%</w:t>
            </w:r>
          </w:p>
        </w:tc>
        <w:tc>
          <w:tcPr>
            <w:tcW w:type="dxa" w:w="1904"/>
          </w:tcPr>
          <w:p>
            <w:pPr>
              <w:autoSpaceDE w:val="0"/>
              <w:autoSpaceDN w:val="0"/>
            </w:pPr>
            <w:r/>
            <w:r>
              <w:rPr>
                <w:b w:val="0"/>
                <w:sz w:val="17"/>
              </w:rPr>
              <w:t>−0.006%p</w:t>
            </w:r>
          </w:p>
        </w:tc>
      </w:tr>
      <w:tr>
        <w:tc>
          <w:tcPr>
            <w:tcW w:type="dxa" w:w="1904"/>
          </w:tcPr>
          <w:p>
            <w:pPr>
              <w:autoSpaceDE w:val="0"/>
              <w:autoSpaceDN w:val="0"/>
            </w:pPr>
            <w:r/>
            <w:r>
              <w:rPr>
                <w:b w:val="0"/>
                <w:sz w:val="17"/>
              </w:rPr>
              <w:t>CICS (λp/λe = 0)</w:t>
            </w:r>
          </w:p>
        </w:tc>
        <w:tc>
          <w:tcPr>
            <w:tcW w:type="dxa" w:w="1904"/>
          </w:tcPr>
          <w:p>
            <w:pPr>
              <w:autoSpaceDE w:val="0"/>
              <w:autoSpaceDN w:val="0"/>
              <w:jc w:val="right"/>
            </w:pPr>
            <w:r/>
            <w:r>
              <w:rPr>
                <w:b w:val="0"/>
                <w:sz w:val="17"/>
              </w:rPr>
              <w:t>25,203.4 kg</w:t>
            </w:r>
          </w:p>
        </w:tc>
        <w:tc>
          <w:tcPr>
            <w:tcW w:type="dxa" w:w="1904"/>
          </w:tcPr>
          <w:p>
            <w:pPr>
              <w:autoSpaceDE w:val="0"/>
              <w:autoSpaceDN w:val="0"/>
              <w:jc w:val="right"/>
            </w:pPr>
            <w:r/>
            <w:r>
              <w:rPr>
                <w:b w:val="0"/>
                <w:sz w:val="17"/>
              </w:rPr>
              <w:t>25,276.8 kg</w:t>
            </w:r>
          </w:p>
        </w:tc>
        <w:tc>
          <w:tcPr>
            <w:tcW w:type="dxa" w:w="1904"/>
          </w:tcPr>
          <w:p>
            <w:pPr>
              <w:autoSpaceDE w:val="0"/>
              <w:autoSpaceDN w:val="0"/>
            </w:pPr>
            <w:r/>
            <w:r>
              <w:rPr>
                <w:b w:val="0"/>
                <w:sz w:val="17"/>
              </w:rPr>
              <w:t>+0.292%</w:t>
            </w:r>
          </w:p>
        </w:tc>
        <w:tc>
          <w:tcPr>
            <w:tcW w:type="dxa" w:w="1904"/>
          </w:tcPr>
          <w:p>
            <w:pPr>
              <w:autoSpaceDE w:val="0"/>
              <w:autoSpaceDN w:val="0"/>
            </w:pPr>
            <w:r/>
            <w:r>
              <w:rPr>
                <w:b w:val="0"/>
                <w:sz w:val="17"/>
              </w:rPr>
              <w:t>−0.251%p</w:t>
            </w:r>
          </w:p>
        </w:tc>
      </w:tr>
      <w:tr>
        <w:tc>
          <w:tcPr>
            <w:tcW w:type="dxa" w:w="1904"/>
          </w:tcPr>
          <w:p>
            <w:pPr>
              <w:autoSpaceDE w:val="0"/>
              <w:autoSpaceDN w:val="0"/>
            </w:pPr>
            <w:r/>
            <w:r>
              <w:rPr>
                <w:b w:val="0"/>
                <w:sz w:val="17"/>
              </w:rPr>
              <w:t>Sukprasert 시간 단독</w:t>
            </w:r>
          </w:p>
        </w:tc>
        <w:tc>
          <w:tcPr>
            <w:tcW w:type="dxa" w:w="1904"/>
          </w:tcPr>
          <w:p>
            <w:pPr>
              <w:autoSpaceDE w:val="0"/>
              <w:autoSpaceDN w:val="0"/>
              <w:jc w:val="right"/>
            </w:pPr>
            <w:r/>
            <w:r>
              <w:rPr>
                <w:b w:val="0"/>
                <w:sz w:val="17"/>
              </w:rPr>
              <w:t>9,583.6 kg</w:t>
            </w:r>
          </w:p>
        </w:tc>
        <w:tc>
          <w:tcPr>
            <w:tcW w:type="dxa" w:w="1904"/>
          </w:tcPr>
          <w:p>
            <w:pPr>
              <w:autoSpaceDE w:val="0"/>
              <w:autoSpaceDN w:val="0"/>
              <w:jc w:val="right"/>
            </w:pPr>
            <w:r/>
            <w:r>
              <w:rPr>
                <w:b w:val="0"/>
                <w:sz w:val="17"/>
              </w:rPr>
              <w:t>9,571.8 kg</w:t>
            </w:r>
          </w:p>
        </w:tc>
        <w:tc>
          <w:tcPr>
            <w:tcW w:type="dxa" w:w="1904"/>
          </w:tcPr>
          <w:p>
            <w:pPr>
              <w:autoSpaceDE w:val="0"/>
              <w:autoSpaceDN w:val="0"/>
            </w:pPr>
            <w:r/>
            <w:r>
              <w:rPr>
                <w:b w:val="0"/>
                <w:sz w:val="17"/>
              </w:rPr>
              <w:t>−0.124%</w:t>
            </w:r>
          </w:p>
        </w:tc>
        <w:tc>
          <w:tcPr>
            <w:tcW w:type="dxa" w:w="1904"/>
          </w:tcPr>
          <w:p>
            <w:pPr>
              <w:autoSpaceDE w:val="0"/>
              <w:autoSpaceDN w:val="0"/>
            </w:pPr>
            <w:r/>
            <w:r>
              <w:rPr>
                <w:b w:val="0"/>
                <w:sz w:val="17"/>
              </w:rPr>
              <w:t>+0.041%p</w:t>
            </w:r>
          </w:p>
        </w:tc>
      </w:tr>
      <w:tr>
        <w:tc>
          <w:tcPr>
            <w:tcW w:type="dxa" w:w="1904"/>
          </w:tcPr>
          <w:p>
            <w:pPr>
              <w:autoSpaceDE w:val="0"/>
              <w:autoSpaceDN w:val="0"/>
            </w:pPr>
            <w:r/>
            <w:r>
              <w:rPr>
                <w:b w:val="0"/>
                <w:sz w:val="17"/>
              </w:rPr>
              <w:t>Sukprasert 공간+시간</w:t>
            </w:r>
          </w:p>
        </w:tc>
        <w:tc>
          <w:tcPr>
            <w:tcW w:type="dxa" w:w="1904"/>
          </w:tcPr>
          <w:p>
            <w:pPr>
              <w:autoSpaceDE w:val="0"/>
              <w:autoSpaceDN w:val="0"/>
              <w:jc w:val="right"/>
            </w:pPr>
            <w:r/>
            <w:r>
              <w:rPr>
                <w:b w:val="0"/>
                <w:sz w:val="17"/>
              </w:rPr>
              <w:t>990.8 kg</w:t>
            </w:r>
          </w:p>
        </w:tc>
        <w:tc>
          <w:tcPr>
            <w:tcW w:type="dxa" w:w="1904"/>
          </w:tcPr>
          <w:p>
            <w:pPr>
              <w:autoSpaceDE w:val="0"/>
              <w:autoSpaceDN w:val="0"/>
              <w:jc w:val="right"/>
            </w:pPr>
            <w:r/>
            <w:r>
              <w:rPr>
                <w:b w:val="0"/>
                <w:sz w:val="17"/>
              </w:rPr>
              <w:t>990.6 kg</w:t>
            </w:r>
          </w:p>
        </w:tc>
        <w:tc>
          <w:tcPr>
            <w:tcW w:type="dxa" w:w="1904"/>
          </w:tcPr>
          <w:p>
            <w:pPr>
              <w:autoSpaceDE w:val="0"/>
              <w:autoSpaceDN w:val="0"/>
            </w:pPr>
            <w:r/>
            <w:r>
              <w:rPr>
                <w:b w:val="0"/>
                <w:sz w:val="17"/>
              </w:rPr>
              <w:t>−0.025%</w:t>
            </w:r>
          </w:p>
        </w:tc>
        <w:tc>
          <w:tcPr>
            <w:tcW w:type="dxa" w:w="1904"/>
          </w:tcPr>
          <w:p>
            <w:pPr>
              <w:autoSpaceDE w:val="0"/>
              <w:autoSpaceDN w:val="0"/>
            </w:pPr>
            <w:r/>
            <w:r>
              <w:rPr>
                <w:b w:val="0"/>
                <w:sz w:val="17"/>
              </w:rPr>
              <w:t>+0.001%p</w:t>
            </w:r>
          </w:p>
        </w:tc>
      </w:tr>
    </w:tbl>
    <w:p/>
    <w:p>
      <w:pPr>
        <w:autoSpaceDE w:val="0"/>
        <w:autoSpaceDN w:val="0"/>
        <w:jc w:val="both"/>
      </w:pPr>
      <w:r>
        <w:rPr>
          <w:i w:val="0"/>
          <w:sz w:val="20"/>
        </w:rPr>
        <w:t>네 정책 모두 0.3% 안이며 순위도 바뀌지 않는다(Caspian 은 전규모 재현이 끝나는 대로 같은 방식으로 더한다).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autoSpaceDE w:val="0"/>
        <w:autoSpaceDN w:val="0"/>
        <w:pStyle w:val="Heading2"/>
      </w:pPr>
      <w:r>
        <w:rPr>
          <w:rFonts w:ascii="맑은 고딕" w:hAnsi="맑은 고딕"/>
        </w:rPr>
        <w:t>사후 용량 강제 대조군의 절차</w:t>
      </w:r>
    </w:p>
    <w:p>
      <w:pPr>
        <w:autoSpaceDE w:val="0"/>
        <w:autoSpaceDN w:val="0"/>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autoSpaceDE w:val="0"/>
        <w:autoSpaceDN w:val="0"/>
        <w:jc w:val="both"/>
      </w:pPr>
      <w:r>
        <w:rPr>
          <w:i w:val="0"/>
          <w:sz w:val="20"/>
        </w:rPr>
        <w:t>리전마다 독립적으로 다음을 초과가 사라질 때까지 반복한다.</w:t>
      </w:r>
    </w:p>
    <w:p>
      <w:pPr>
        <w:autoSpaceDE w:val="0"/>
        <w:autoSpaceDN w:val="0"/>
        <w:spacing w:after="80"/>
        <w:ind w:left="340"/>
      </w:pPr>
      <w:r>
        <w:rPr>
          <w:rFonts w:ascii="Menlo" w:hAnsi="Menlo"/>
          <w:sz w:val="17"/>
        </w:rPr>
        <w:t>1. 그 리전 작업들의 현재 (시작, 종료)로 연속 시각 스윕을 돌려</w:t>
      </w:r>
    </w:p>
    <w:p>
      <w:pPr>
        <w:autoSpaceDE w:val="0"/>
        <w:autoSpaceDN w:val="0"/>
        <w:spacing w:after="80"/>
        <w:ind w:left="340"/>
      </w:pPr>
      <w:r>
        <w:rPr>
          <w:rFonts w:ascii="Menlo" w:hAnsi="Menlo"/>
          <w:sz w:val="17"/>
        </w:rPr>
        <w:t xml:space="preserve">   동시 실행 수가 K_r 을 넘는 구간을 찾는다.</w:t>
      </w:r>
    </w:p>
    <w:p>
      <w:pPr>
        <w:autoSpaceDE w:val="0"/>
        <w:autoSpaceDN w:val="0"/>
        <w:spacing w:after="80"/>
        <w:ind w:left="340"/>
      </w:pPr>
      <w:r>
        <w:rPr>
          <w:rFonts w:ascii="Menlo" w:hAnsi="Menlo"/>
          <w:sz w:val="17"/>
        </w:rPr>
        <w:t>2. 아직 되돌리지 않은 작업 가운데 그 구간과 실행 구간이 겹치는</w:t>
      </w:r>
    </w:p>
    <w:p>
      <w:pPr>
        <w:autoSpaceDE w:val="0"/>
        <w:autoSpaceDN w:val="0"/>
        <w:spacing w:after="80"/>
        <w:ind w:left="340"/>
      </w:pPr>
      <w:r>
        <w:rPr>
          <w:rFonts w:ascii="Menlo" w:hAnsi="Menlo"/>
          <w:sz w:val="17"/>
        </w:rPr>
        <w:t xml:space="preserve">   것을 전부 즉시 실행(τ_j ← s_j)으로 되돌린다.</w:t>
      </w:r>
    </w:p>
    <w:p>
      <w:pPr>
        <w:autoSpaceDE w:val="0"/>
        <w:autoSpaceDN w:val="0"/>
        <w:spacing w:after="80"/>
        <w:ind w:left="340"/>
      </w:pPr>
      <w:r>
        <w:rPr>
          <w:rFonts w:ascii="Menlo" w:hAnsi="Menlo"/>
          <w:sz w:val="17"/>
        </w:rPr>
        <w:t>3. 새로 되돌릴 것이 없으면 멈춘다.</w:t>
      </w:r>
    </w:p>
    <w:p>
      <w:pPr>
        <w:autoSpaceDE w:val="0"/>
        <w:autoSpaceDN w:val="0"/>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autoSpaceDE w:val="0"/>
        <w:autoSpaceDN w:val="0"/>
        <w:pStyle w:val="Heading2"/>
      </w:pPr>
      <w:r>
        <w:rPr>
          <w:rFonts w:ascii="맑은 고딕" w:hAnsi="맑은 고딕"/>
        </w:rPr>
        <w:t>실행 시간</w:t>
      </w:r>
    </w:p>
    <w:p>
      <w:pPr>
        <w:autoSpaceDE w:val="0"/>
        <w:autoSpaceDN w:val="0"/>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ExpandShiftRetur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autoSpaceDE w:val="0"/>
        <w:autoSpaceDN w:val="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