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S12). 본편의 번호와 섞이지 않는다. 본편의 표·그림·식을 가리킬 때는 “본편 표 5”처럼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pStyle w:val="Heading2"/>
      </w:pPr>
      <w:r>
        <w:rPr>
          <w:rFonts w:ascii="맑은 고딕" w:hAnsi="맑은 고딕"/>
        </w:rPr>
        <w:t>본편 표 5에 실은 값</w:t>
      </w:r>
    </w:p>
    <w:p>
      <w:pPr>
        <w:autoSpaceDE w:val="0"/>
        <w:autoSpaceDN w:val="0"/>
        <w:jc w:val="both"/>
      </w:pPr>
      <w:r>
        <w:rPr>
          <w:i/>
          <w:sz w:val="20"/>
        </w:rPr>
        <w:t>【전체 스케일 실행 진행 중】</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S7.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S8.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A.9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S9.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배정한 경로에서는 한 건도 나오지 않는다.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S10.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S11.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bl>
    <w:p/>
    <w:p>
      <w:pPr>
        <w:autoSpaceDE w:val="0"/>
        <w:autoSpaceDN w:val="0"/>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