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</w:pPr>
      <w:r>
        <w:rPr>
          <w:b/>
          <w:sz w:val="30"/>
        </w:rPr>
        <w:t>CAST 논문 — 받은 피드백 기록</w:t>
      </w:r>
    </w:p>
    <w:p>
      <w:pPr>
        <w:spacing w:after="80" w:before="0"/>
      </w:pPr>
      <w:r>
        <w:rPr>
          <w:b/>
          <w:sz w:val="26"/>
        </w:rPr>
        <w:t>1. 교수님 피드백</w:t>
      </w:r>
    </w:p>
    <w:p>
      <w:pPr>
        <w:spacing w:after="40" w:before="0"/>
      </w:pPr>
      <w:r>
        <w:rPr>
          <w:b w:val="0"/>
          <w:sz w:val="18"/>
        </w:rPr>
        <w:t>남재현 교수님 (namjh@dankook.ac.kr) · 2026-10-12 (월) 15:06</w:t>
      </w:r>
    </w:p>
    <w:p>
      <w:pPr>
        <w:spacing w:after="240" w:before="0"/>
      </w:pPr>
      <w:r>
        <w:rPr>
          <w:b w:val="0"/>
          <w:sz w:val="18"/>
        </w:rPr>
        <w:t>Re: 단국대학교 32203482 이종하입니다 - CAST 논문 JOK 규정에 맞춰 docx와 함께 보내드립니다</w:t>
      </w:r>
    </w:p>
    <w:p>
      <w:pPr>
        <w:spacing w:after="240" w:before="0"/>
      </w:pPr>
      <w:r>
        <w:rPr>
          <w:b w:val="0"/>
          <w:sz w:val="21"/>
        </w:rPr>
        <w:t>내용을 글로 잡아보려고 했는데, 아래 내용을 좀 추가해야 정리가 될 듯함</w:t>
      </w:r>
    </w:p>
    <w:p>
      <w:pPr>
        <w:spacing w:after="80" w:before="0"/>
      </w:pPr>
      <w:r>
        <w:rPr>
          <w:b w:val="0"/>
          <w:sz w:val="21"/>
        </w:rPr>
        <w:t>현재 원고라면 한국정보과학회 논문지 심사에서 '수정 후 재심'이 가장 유력해 보입니다. 심사자가 실험 타당성을 엄격하게 보면 게재 불가 후 재투고까지도 가능합니다.</w:t>
      </w:r>
    </w:p>
    <w:p>
      <w:pPr>
        <w:spacing w:after="240" w:before="0"/>
      </w:pPr>
      <w:r>
        <w:rPr>
          <w:b w:val="0"/>
          <w:sz w:val="21"/>
        </w:rPr>
        <w:t>문장과 구조는 상당히 좋아졌지만, 이제 약점은 글쓰기보다 실험 설계와 재현성에 있습니다.</w:t>
      </w:r>
    </w:p>
    <w:p>
      <w:pPr>
        <w:spacing w:after="120" w:before="80"/>
      </w:pPr>
      <w:r>
        <w:rPr>
          <w:b/>
          <w:sz w:val="23"/>
        </w:rPr>
        <w:t>예상 판정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b/>
                <w:sz w:val="19"/>
              </w:rPr>
              <w:t>평가 항목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예상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심사자가 볼 부분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문제의 중요성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양호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탄소 절감과 리전 용량 충돌이라는 문제가 명확함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논문 구성·가독성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양호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연구 공백, RQ1~RQ4, 결과의 연결이 잘 보임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독창성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보통 이상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용량 추적과 동적 가중치의 결합은 의미가 있으나 개별 기술은 기존 기법에 가까움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기술적 완결성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보통 이하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상한 예외 227건 때문에 하드 용량을 만족하는 실행 가능 정책은 아님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실험 타당성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취약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합성 워크로드와 인위적으로 설정한 동일 용량에 결과가 크게 의존함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재현성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취약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작업 실행시간 분포, LSTM 학습 조건, solver와 수행시간 등의 정보가 부족함</w:t>
            </w:r>
          </w:p>
        </w:tc>
      </w:tr>
    </w:tbl>
    <w:p/>
    <w:p>
      <w:pPr>
        <w:spacing w:after="120" w:before="120"/>
      </w:pPr>
      <w:r>
        <w:rPr>
          <w:b/>
          <w:sz w:val="23"/>
        </w:rPr>
        <w:t>가장 크게 지적될 가능성이 높은 사항</w:t>
      </w:r>
    </w:p>
    <w:p>
      <w:pPr>
        <w:spacing w:after="60" w:before="140"/>
      </w:pPr>
      <w:r>
        <w:rPr>
          <w:b/>
          <w:sz w:val="21"/>
        </w:rPr>
        <w:t>1. 핵심 주장과 실제 정책 사이의 거리</w:t>
      </w:r>
    </w:p>
    <w:p>
      <w:pPr>
        <w:spacing w:after="60" w:before="0"/>
      </w:pPr>
      <w:r>
        <w:rPr>
          <w:b w:val="0"/>
          <w:sz w:val="21"/>
        </w:rPr>
        <w:t>CAST는 용량을 고려하지만 용량을 항상 만족시키지는 않습니다. 227건의 예외와 최대 동시 실행 17건이 발생하므로, 심사자는 “용량 제약 스케줄러가 아니라 소프트 상한을 사용하는 마감 우선 정책”이라고 평가할 수 있습니다. 현재 원고가 이를 숨기지는 않지만, 핵심 기여가 약해 보일 가능성은 남아 있습니다.</w:t>
      </w:r>
    </w:p>
    <w:p>
      <w:pPr>
        <w:spacing w:after="60" w:before="140"/>
      </w:pPr>
      <w:r>
        <w:rPr>
          <w:b/>
          <w:sz w:val="21"/>
        </w:rPr>
        <w:t>2. 합성 워크로드 의존성</w:t>
      </w:r>
    </w:p>
    <w:p>
      <w:pPr>
        <w:spacing w:after="60" w:before="0"/>
      </w:pPr>
      <w:r>
        <w:rPr>
          <w:b w:val="0"/>
          <w:sz w:val="21"/>
        </w:rPr>
        <w:t>하루 50건, 리전별 동일 발생률, 동일 용량, 작업당 1kW라는 설정이 결과를 좌우합니다. 특히 명목 용량 16을 기준 정책의 최대 동시 실행 수로부터 정한 부분은 실험 결과에 맞춘 설정으로 보일 수 있습니다. 여러 부하 수준과 비대칭 리전 용량을 추가해야 설득력이 생깁니다.</w:t>
      </w:r>
    </w:p>
    <w:p>
      <w:pPr>
        <w:spacing w:after="60" w:before="140"/>
      </w:pPr>
      <w:r>
        <w:rPr>
          <w:b/>
          <w:sz w:val="21"/>
        </w:rPr>
        <w:t>3. 재현에 필요한 실험 조건 부족</w:t>
      </w:r>
    </w:p>
    <w:p>
      <w:pPr>
        <w:spacing w:after="60" w:before="0"/>
      </w:pPr>
      <w:r>
        <w:rPr>
          <w:b w:val="0"/>
          <w:sz w:val="21"/>
        </w:rPr>
        <w:t>가장 위험한 누락은 작업 실행시간 d_j의 분포입니다. 이 값은 용량 점유와 배출량 모두를 결정하지만 현재 본문에서 생성 방식이 명확하지 않습니다. LSTM의 학습·검증·시험 기간, 정규화, 손실함수, optimizer, epoch, 조기 종료 조건도 필요합니다.</w:t>
      </w:r>
    </w:p>
    <w:p>
      <w:pPr>
        <w:spacing w:after="60" w:before="140"/>
      </w:pPr>
      <w:r>
        <w:rPr>
          <w:b/>
          <w:sz w:val="21"/>
        </w:rPr>
        <w:t>4. 동적 가중치 검증 부족</w:t>
      </w:r>
    </w:p>
    <w:p>
      <w:pPr>
        <w:spacing w:after="60" w:before="0"/>
      </w:pPr>
      <w:r>
        <w:rPr>
          <w:b w:val="0"/>
          <w:sz w:val="21"/>
        </w:rPr>
        <w:t>현재 핵심 결과는 동적 가중치와 고정 α=0.5의 비교입니다. 심사자는 “왜 0.5만 비교했는가”라고 물을 가능성이 큽니다. 고정 가중치 전체 탐색에서 가장 좋은 결과와 비교하고, 시간대·리전별 선택 분포와 지연 증가까지 함께 제시해야 합니다.</w:t>
      </w:r>
    </w:p>
    <w:p>
      <w:pPr>
        <w:spacing w:after="60" w:before="140"/>
      </w:pPr>
      <w:r>
        <w:rPr>
          <w:b/>
          <w:sz w:val="21"/>
        </w:rPr>
        <w:t>5. 선행 정책 비교의 공정성</w:t>
      </w:r>
    </w:p>
    <w:p>
      <w:pPr>
        <w:spacing w:after="60" w:before="0"/>
      </w:pPr>
      <w:r>
        <w:rPr>
          <w:b w:val="0"/>
          <w:sz w:val="21"/>
        </w:rPr>
        <w:t>CASPER와 Sukprasert 정책의 95~96% 절감률과 대규모 상한 초과는 인상적이지만, 원 논문의 목적함수와 워크로드가 다릅니다. 재구현 세부사항이나 설정 대응표가 부족하면 “CAST에 유리하게 변형된 비교”라는 지적을 받을 수 있습니다.</w:t>
      </w:r>
    </w:p>
    <w:p>
      <w:pPr>
        <w:spacing w:after="60" w:before="140"/>
      </w:pPr>
      <w:r>
        <w:rPr>
          <w:b/>
          <w:sz w:val="21"/>
        </w:rPr>
        <w:t>6. 실용성·계산비용 평가 부재</w:t>
      </w:r>
    </w:p>
    <w:p>
      <w:pPr>
        <w:spacing w:after="60" w:before="0"/>
      </w:pPr>
      <w:r>
        <w:rPr>
          <w:b w:val="0"/>
          <w:sz w:val="21"/>
        </w:rPr>
        <w:t>슬롯마다 11개의 정수계획 문제를 푸는데 수행시간, solver, 하드웨어, 최적성 허용오차가 없습니다. 온라인 정책을 주장하려면 슬롯당 평균·최대 계산시간과 작업 수 증가에 따른 확장성 결과가 필요합니다.</w:t>
      </w:r>
    </w:p>
    <w:p>
      <w:pPr>
        <w:spacing w:after="120" w:before="240"/>
      </w:pPr>
      <w:r>
        <w:rPr>
          <w:b/>
          <w:sz w:val="23"/>
        </w:rPr>
        <w:t>현실적인 예상</w:t>
      </w:r>
    </w:p>
    <w:p>
      <w:pPr>
        <w:spacing w:after="40" w:before="0"/>
      </w:pPr>
      <w:r>
        <w:rPr>
          <w:b w:val="0"/>
          <w:sz w:val="21"/>
        </w:rPr>
        <w:t>· 우호적인 심사자: 수정 후 재심</w:t>
      </w:r>
    </w:p>
    <w:p>
      <w:pPr>
        <w:spacing w:after="40" w:before="0"/>
      </w:pPr>
      <w:r>
        <w:rPr>
          <w:b w:val="0"/>
          <w:sz w:val="21"/>
        </w:rPr>
        <w:t>· 방법론에 엄격한 심사자: 게재 불가 후 보완 재투고</w:t>
      </w:r>
    </w:p>
    <w:p>
      <w:pPr>
        <w:spacing w:after="40" w:before="0"/>
      </w:pPr>
      <w:r>
        <w:rPr>
          <w:b w:val="0"/>
          <w:sz w:val="21"/>
        </w:rPr>
        <w:t>· 현재 상태에서 바로 게재: 가능성 낮음</w:t>
      </w:r>
    </w:p>
    <w:p>
      <w:pPr>
        <w:spacing w:after="80" w:before="160"/>
      </w:pPr>
      <w:r>
        <w:rPr>
          <w:b w:val="0"/>
          <w:sz w:val="21"/>
        </w:rPr>
        <w:t>가장 효과적인 보완은 문장을 더 다듬는 것이 아니라, 작업 생성 조건과 LSTM 학습 조건 명시 → 최적 고정 가중치와 비교 → 부하·용량 민감도 확대 → 계산시간 보고 순서입니다. 이 네 가지를 보강하면 '수정 후 재심'에서 '게재 가능' 쪽으로 상당히 이동할 수 있습니다.</w:t>
      </w:r>
    </w:p>
    <w:p>
      <w:r>
        <w:br w:type="page"/>
      </w:r>
    </w:p>
    <w:p>
      <w:pPr>
        <w:spacing w:after="80" w:before="0"/>
      </w:pPr>
      <w:r>
        <w:rPr>
          <w:b/>
          <w:sz w:val="26"/>
        </w:rPr>
        <w:t>2. JOK 심사의견서 — 심사자가 무엇을 보는가</w:t>
      </w:r>
    </w:p>
    <w:p>
      <w:pPr>
        <w:spacing w:after="240" w:before="0"/>
      </w:pPr>
      <w:r>
        <w:rPr>
          <w:b w:val="0"/>
          <w:sz w:val="18"/>
        </w:rPr>
        <w:t>출처: 정보과학회논문지 Guide for Reviewers (jok.kiise.or.kr)</w:t>
      </w:r>
    </w:p>
    <w:p>
      <w:pPr>
        <w:spacing w:after="100" w:before="80"/>
      </w:pPr>
      <w:r>
        <w:rPr>
          <w:b/>
          <w:sz w:val="23"/>
        </w:rPr>
        <w:t>심사 방식</w:t>
      </w:r>
    </w:p>
    <w:p>
      <w:pPr>
        <w:spacing w:after="240" w:before="0"/>
      </w:pPr>
      <w:r>
        <w:rPr>
          <w:b w:val="0"/>
          <w:sz w:val="21"/>
        </w:rPr>
        <w:t>JOK는 이중 맹검(double-blind) 심사를 쓴다. 전문 심사자 세 명이 저자가 누구인지 모르는 상태에서, 저자도 심사자가 누구인지 모르는 상태에서 원고를 평가한다. 저자는 익명이 유지되도록 원고를 준비해야 한다. 심사자는 부편집인이 전문성을 보고 고르며, 투고물의 과학적 수준을 평가한다.</w:t>
      </w:r>
    </w:p>
    <w:p>
      <w:pPr>
        <w:spacing w:after="100" w:before="80"/>
      </w:pPr>
      <w:r>
        <w:rPr>
          <w:b/>
          <w:sz w:val="23"/>
        </w:rPr>
        <w:t>심사자가 점수와 의견을 주는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0"/>
        <w:gridCol w:w="4920"/>
      </w:tblGrid>
      <w:tr>
        <w:tc>
          <w:tcPr>
            <w:tcW w:type="dxa" w:w="4920"/>
          </w:tcPr>
          <w:p>
            <w:r/>
            <w:r>
              <w:rPr>
                <w:b/>
                <w:sz w:val="19"/>
              </w:rPr>
              <w:t>항목</w:t>
            </w:r>
          </w:p>
        </w:tc>
        <w:tc>
          <w:tcPr>
            <w:tcW w:type="dxa" w:w="4920"/>
          </w:tcPr>
          <w:p>
            <w:r/>
            <w:r>
              <w:rPr>
                <w:b/>
                <w:sz w:val="19"/>
              </w:rPr>
              <w:t>원문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JOK 적합성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manuscript's appropriateness for JOK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연구의 질과 결과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research quality and results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방법론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methodology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실험 절차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experimental procedures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분석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analysis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제시한 가설의 중요성과 타당성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importance and soundness of proposed hypotheses</w:t>
            </w:r>
          </w:p>
        </w:tc>
      </w:tr>
      <w:tr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재현 가능성</w:t>
            </w:r>
          </w:p>
        </w:tc>
        <w:tc>
          <w:tcPr>
            <w:tcW w:type="dxa" w:w="4920"/>
          </w:tcPr>
          <w:p>
            <w:r/>
            <w:r>
              <w:rPr>
                <w:b w:val="0"/>
                <w:sz w:val="19"/>
              </w:rPr>
              <w:t>the potential for replication</w:t>
            </w:r>
          </w:p>
        </w:tc>
      </w:tr>
    </w:tbl>
    <w:p/>
    <w:p>
      <w:pPr>
        <w:spacing w:after="100" w:before="80"/>
      </w:pPr>
      <w:r>
        <w:rPr>
          <w:b/>
          <w:sz w:val="23"/>
        </w:rPr>
        <w:t>판정 네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b/>
                <w:sz w:val="19"/>
              </w:rPr>
              <w:t>판정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원문</w:t>
            </w:r>
          </w:p>
        </w:tc>
        <w:tc>
          <w:tcPr>
            <w:tcW w:type="dxa" w:w="3280"/>
          </w:tcPr>
          <w:p>
            <w:r/>
            <w:r>
              <w:rPr>
                <w:b/>
                <w:sz w:val="19"/>
              </w:rPr>
              <w:t>뜻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Accept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Publish as is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그대로 게재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Minor Revisions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Publish as is after modification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수정 후 게재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Major Revisions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Re-examine after modification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수정 후 재심</w:t>
            </w:r>
          </w:p>
        </w:tc>
      </w:tr>
      <w:tr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Reject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not suitable for JOK publication</w:t>
            </w:r>
          </w:p>
        </w:tc>
        <w:tc>
          <w:tcPr>
            <w:tcW w:type="dxa" w:w="3280"/>
          </w:tcPr>
          <w:p>
            <w:r/>
            <w:r>
              <w:rPr>
                <w:b w:val="0"/>
                <w:sz w:val="19"/>
              </w:rPr>
              <w:t>게재 불가</w:t>
            </w:r>
          </w:p>
        </w:tc>
      </w:tr>
    </w:tbl>
    <w:p/>
    <w:p>
      <w:pPr>
        <w:spacing w:after="100" w:before="80"/>
      </w:pPr>
      <w:r>
        <w:rPr>
          <w:b/>
          <w:sz w:val="23"/>
        </w:rPr>
        <w:t>심사자의 의무</w:t>
      </w:r>
    </w:p>
    <w:p>
      <w:pPr>
        <w:spacing w:after="40" w:before="100"/>
      </w:pPr>
      <w:r>
        <w:rPr>
          <w:b/>
          <w:sz w:val="21"/>
        </w:rPr>
        <w:t>· 기밀 유지</w:t>
      </w:r>
    </w:p>
    <w:p>
      <w:pPr>
        <w:spacing w:after="40" w:before="0"/>
      </w:pPr>
      <w:r>
        <w:rPr>
          <w:b w:val="0"/>
          <w:sz w:val="21"/>
        </w:rPr>
        <w:t xml:space="preserve">   심사용으로 받은 원고는 기밀 문서로 다루어야 하며, 편집인이 허락한 경우를 빼고 타인에게 보여 주거나 논의해서는 안 된다.</w:t>
      </w:r>
    </w:p>
    <w:p>
      <w:pPr>
        <w:spacing w:after="40" w:before="100"/>
      </w:pPr>
      <w:r>
        <w:rPr>
          <w:b/>
          <w:sz w:val="21"/>
        </w:rPr>
        <w:t>· 신속한 처리와 편집 결정 지원</w:t>
      </w:r>
    </w:p>
    <w:p>
      <w:pPr>
        <w:spacing w:after="40" w:before="0"/>
      </w:pPr>
      <w:r>
        <w:rPr>
          <w:b w:val="0"/>
          <w:sz w:val="21"/>
        </w:rPr>
        <w:t xml:space="preserve">   심사를 제때 끝내고, 원고에 대한 비판적 평가로 편집인의 결정을 도와야 한다.</w:t>
      </w:r>
    </w:p>
    <w:p>
      <w:pPr>
        <w:spacing w:after="40" w:before="100"/>
      </w:pPr>
      <w:r>
        <w:rPr>
          <w:b/>
          <w:sz w:val="21"/>
        </w:rPr>
        <w:t>· 이해충돌 공개</w:t>
      </w:r>
    </w:p>
    <w:p>
      <w:pPr>
        <w:spacing w:after="40" w:before="0"/>
      </w:pPr>
      <w:r>
        <w:rPr>
          <w:b w:val="0"/>
          <w:sz w:val="21"/>
        </w:rPr>
        <w:t xml:space="preserve">   저자·회사·기관과 경쟁, 협력, 그 밖의 관계로 이해충돌이 있는 원고는 심사하지 않아야 한다.</w:t>
      </w:r>
    </w:p>
    <w:p>
      <w:pPr>
        <w:spacing w:after="40" w:before="100"/>
      </w:pPr>
      <w:r>
        <w:rPr>
          <w:b/>
          <w:sz w:val="21"/>
        </w:rPr>
        <w:t>· 객관적 판단</w:t>
      </w:r>
    </w:p>
    <w:p>
      <w:pPr>
        <w:spacing w:after="40" w:before="0"/>
      </w:pPr>
      <w:r>
        <w:rPr>
          <w:b w:val="0"/>
          <w:sz w:val="21"/>
        </w:rPr>
        <w:t xml:space="preserve">   근거를 들어 분명하게 관찰을 적어, 저자가 원고를 고치는 데 쓸 수 있도록 객관적으로 심사해야 한다.</w:t>
      </w:r>
    </w:p>
    <w:p>
      <w:pPr>
        <w:spacing w:after="40" w:before="100"/>
      </w:pPr>
      <w:r>
        <w:rPr>
          <w:b/>
          <w:sz w:val="21"/>
        </w:rPr>
        <w:t>· 출처 확인</w:t>
      </w:r>
    </w:p>
    <w:p>
      <w:pPr>
        <w:spacing w:after="40" w:before="0"/>
      </w:pPr>
      <w:r>
        <w:rPr>
          <w:b w:val="0"/>
          <w:sz w:val="21"/>
        </w:rPr>
        <w:t xml:space="preserve">   저자가 인용하지 않은 관련 선행 연구를 짚어 주어야 한다. 어떤 관찰·유도·논증이 이미 보고된 것이라면 해당 인용을 함께 적어야 한다.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