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 xml:space="preserve">jongha8273@naver.com, heejin@example.com, dgkang@example.com, hjkim@example.com,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0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실행 가능 창이 가장 넓은 9건이다(전부 지연 등급 </w:t>
      </w:r>
      <w:r>
        <w:rPr>
          <w:rFonts w:ascii="Cambria Math" w:hAnsi="Cambria Math"/>
          <w:sz w:val="18"/>
          <w:szCs w:val="18"/>
          <w:i/>
        </w:rPr>
        <w:t xml:space="preserve">k</w:t>
      </w:r>
      <w:r>
        <w:rPr>
          <w:sz w:val="18"/>
          <w:szCs w:val="18"/>
        </w:rPr>
        <w:t xml:space="preserve">=1. 가는 선이 제출부터 마감까지의 창, 굵은 막대가 실제 실행 구간), 아래는 동시 실행 수다. 탄소가 낮아지는 구간, 곧 현지 한낮이 그대로 유효 상한에 닿아 옮기고 싶은 자리가 이미 차 있다.</w:t>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