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 under Capacity Constraints</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 xml:space="preserve">본 연구는 CAST를 제안한다. CAST는 LSTM으로 예측한 탄소집약도 위에서 정수 계획법으로 리전을 정하고, 마감 시한 안에서 실행 시각을 옮기되 리전별 용량 상한을 매 슬롯 강제한다.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 중요한 발견은 총계가 아니라 분포에 있다. 용량을 두지 않았을 때 시간 이동이 만드는 절감의 71.9%가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 xml:space="preserve">그 리전에서 상한을 넘긴 시간의 91.38%가 UTC 19~21시, 곧 현지 한낮 세 시간에 몰린다.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AI를 가장 큰 요인으로 지목했다[1]</w:t>
      </w:r>
      <w:r>
        <w:t xml:space="preserve">. </w:t>
      </w:r>
      <w:r>
        <w:t>에너지 사용의 투명성이 규제 대상이 된 이상[2]</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 xml:space="preserve">하루 안에서도 캘리포니아는 최댓값이 최솟값의 3.53배다(365일 중앙값).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 축에서는 구글의 CICS[3]</w:t>
      </w:r>
      <w:r>
        <w:t>가</w:t>
      </w:r>
      <w:r>
        <w:t xml:space="preserve">, </w:t>
      </w:r>
      <w:r>
        <w:t>공간 축에서는 CASPER[4]</w:t>
      </w:r>
      <w:r>
        <w:t>와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 축을 함께 다룬 Sukprasert 등의 상한 분석[6]은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 클러스터 내 시간 이동에 한정된다[7]</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CAST는 세 단계로 움직인다. 예측 단계가 8개 리전의 향후 24시간 탄소집약도를 LSTM으로 산출하고, 공간 이동 단계가 정수 선형 계획법으로 실행 리전을 정하며, 시간 이동 단계가 각 작업의 마감 이내에서 실행 시각을 정한다.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 연구[7]는 이 현상을 단일 클러스터 맥락에서 지적했을 뿐 정량화하지 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 축을 결합한 분석에서는 용량을 두지 않았고[6]</w:t>
      </w:r>
      <w:r>
        <w:t xml:space="preserve">, Attenni </w:t>
      </w:r>
      <w:r>
        <w:t>등의</w:t>
      </w:r>
      <w:r>
        <w:t xml:space="preserve"> </w:t>
      </w:r>
      <w:r>
        <w:t>시공간</w:t>
      </w:r>
      <w:r>
        <w:t xml:space="preserve"> </w:t>
      </w:r>
      <w:r>
        <w:t>결합</w:t>
      </w:r>
      <w:r>
        <w:t xml:space="preserve"> </w:t>
      </w:r>
      <w:r>
        <w:t>연구도</w:t>
      </w:r>
      <w:r>
        <w:t xml:space="preserve"> </w:t>
      </w:r>
      <w:r>
        <w:t>자원이 항상 가용하다고 가정한다[8]</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 버지니아를 지목하였다[6]</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 달라질 것이라고 밝혔다[4]</w:t>
      </w:r>
      <w:r>
        <w:t>. CICS 역시 탄소 비용과[3]</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 정해야 한다고 결론지었다[9]</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제약이다[9].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 지구 평균 절감이 8.4%에 그친다고 보고하였다[6]</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 한다. 둘 다 예측값을 쓰면 예측 오차의 대가가 결과에서 사라지기 때문이다.</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 출력 24시간이며 이 구간의 평균 절대 오차는 12.2 gCO₂/kWh다.</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 축을 결합한 분석에서는 도입하지 않았다[6]</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 α 다섯 값과 슬롯별 무릎점, 기준 배정을 합친 7종 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시간 이동 단계는 작업 j의 실행 가능 윈도우를 [t_early, t_late] = [s_j, D_j − d_j]로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 UTC 이고 이 날(4월) 현지 시각은 7시간 이르다. 탄소가 낮아지는 구간, 곧 현지 한낮이 그대로 유효 상한에 닿아 옮기고 싶은 자리가 이미 차 있다.</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br/>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 슬롯은 의도적으로 상한을 넘긴다. 본 설계에서 마감은 하드 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Algorithm 1  슬롯 단위 롤링 재평가</w:t>
        <w:br/>
        <w:t>Input: K_r, Ĉ_r^(t)(·), H, 작업 집합</w:t>
        <w:br/>
        <w:t>Output: 모든 j에 대한 τ_j</w:t>
        <w:br/>
        <w:t xml:space="preserve"> 1: Q ← ∅</w:t>
        <w:br/>
        <w:t xml:space="preserve"> 2: for t ← 0 to t_max do</w:t>
        <w:br/>
        <w:t xml:space="preserve"> 3:   for each j with ⌊s_j⌋ = t do</w:t>
        <w:br/>
        <w:t xml:space="preserve"> 4:     if ⌊D_j − d_j⌋ ≤ ⌊s_j⌋ then τ_j ← s_j</w:t>
        <w:br/>
        <w:t xml:space="preserve"> 5:     else Q ← Q ∪ { j }</w:t>
        <w:br/>
        <w:t xml:space="preserve"> 6:   for each r ∈ R do</w:t>
        <w:br/>
        <w:t xml:space="preserve"> 7:     a_r(t) ← K_r − n_r(t)</w:t>
        <w:br/>
        <w:t xml:space="preserve"> 8:     F ← { j ∈ Q : r(j)=r, u_j(t) &lt; 1 }</w:t>
        <w:br/>
        <w:t xml:space="preserve"> 9:     P ← ∅</w:t>
        <w:br/>
        <w:t>10:     for each j ∈ Q with r(j)=r, j ∉ F do</w:t>
        <w:br/>
        <w:t>11:       W_j(t) ← 실행 가능 윈도우</w:t>
        <w:br/>
        <w:t>12:       if argmin_(t'∈W_j(t)) score_j(t')</w:t>
        <w:br/>
        <w:t xml:space="preserve">             = max(t, s_j) then</w:t>
        <w:br/>
        <w:t>13:         P ← P ∪ {j}</w:t>
        <w:br/>
        <w:t>14:     sort P by u_j(t) ascending</w:t>
        <w:br/>
        <w:t>15:     S ← F ∪ P[1 … max(a_r(t) − |F|, 0)]</w:t>
        <w:br/>
        <w:t>16:     for each j ∈ S do</w:t>
        <w:br/>
        <w:t>17:       τ_j ← max(t, s_j); Q ← Q ∖ {j}</w:t>
        <w:br/>
        <w:t>18:   if Q = ∅ and 남은 도착 없음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슬롯당 계산 비용은 그 슬롯의 대기 작업 수와 예측 지평 H의 곱에 비례한다.</w:t>
      </w:r>
    </w:p>
    <w:p w14:paraId="0DEA907D" w14:textId="77777777" w:rsidR="004D20D1" w:rsidRDefault="00000000">
      <w:pPr>
        <w:autoSpaceDE w:val="0"/>
        <w:autoSpaceDN w:val="0"/>
      </w:pPr>
      <w:r>
        <w:t>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실행이 걸치는 슬롯들의 평균 강도에 실행 시간을 곱한다(정확한 형태는 추가자료에 둔다). 겹침 길이로 가중해 정확히 적분해도 총 배출량은 0.001% 안에서 같고 절감률은 63.03%로 바뀌지 않는다(표 2의 다른 행도 0.11%p 이내). </w:t>
      </w:r>
      <w:r>
        <w:t>소비</w:t>
      </w:r>
      <w:r>
        <w:t xml:space="preserve"> </w:t>
      </w:r>
      <w:r>
        <w:t>전력은</w:t>
      </w:r>
      <w:r>
        <w:t xml:space="preserve"> </w:t>
      </w:r>
      <w:r>
        <w:t xml:space="preserve">작업당 1kW 상수로 가정한다. 실측값이 아니라 상대 비교를 위한 단순화이며,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API를 통해 1시간 해상도로 수집하였다[10]</w:t>
      </w:r>
      <w:r>
        <w:t xml:space="preserve"> — </w:t>
      </w:r>
      <w:r>
        <w:t>발전과</w:t>
      </w:r>
      <w:r>
        <w:t xml:space="preserve"> </w:t>
      </w:r>
      <w:r>
        <w:t>설비를</w:t>
      </w:r>
      <w:r>
        <w:t xml:space="preserve"> </w:t>
      </w:r>
      <w:r>
        <w:t>모두</w:t>
      </w:r>
      <w:r>
        <w:t xml:space="preserve"> </w:t>
      </w:r>
      <w:r>
        <w:t>포함하는</w:t>
      </w:r>
      <w:r>
        <w:t xml:space="preserve"> </w:t>
      </w:r>
      <w:r>
        <w:t>전과정 배출계수 체계를 쓰는 공식 방법론이다[11]</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 등급별 분포(k=1부터 3:1:1:2:3)는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 이 세 등급에서 537건이 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 xml:space="preserve">비대각 최솟값은 12 ms이며, Azure 리전 간 왕복 지연 통계[12]에서 가져왔다.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탄소집약도의 하루 앞 예측은 선행 연구가 따로 다룬 문제이며[13], 예측 모듈 자체는 본 연구의 기여가 아니므로 선행 예측 연구와의 벤치마크는 수행하지 않았다. 24시간 지평의 평균 절대 오차는 8개 리전 평균 24.9 gCO₂/kWh이며, 곡선이 평탄한 프랑스가 4.5로 가장 작고 변동이 큰 텍사스가 44.3으로 가장 크다 — 예측이 어려운 리전이 곧 시간 이동의 이득이 큰 리전이다. 텍사스는 기상 입력을 실측으로 받는데도 오차가 가장 큰데, 시간당 변동폭이 8개 리전 가운데 가장 크기 때문이다. 저장된 체크포인트에는 가중치만 남아 있어 학습률·에폭·최적화기는 복원하지 못했다.</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1"/>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 경계 사이 어디에 실제 값이 있는지는 4.3절에서 확정한다. 63.03%는 작업당 1kW 가정에서 1년에 18,420.6 kg을 덜 내보낸다는 뜻이며, 실제 절감량은 작업의 소비 전력에 비례한다.</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k=3, 4, 5는 지연 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 길이를 줄이면 이 셋의 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 상한을 넘긴 시간의 91.38%가 UTC 19~21시, 곧 현지 한낮 세 시간에 몰리는</w:t>
      </w:r>
      <w:r>
        <w:t xml:space="preserve"> </w:t>
      </w:r>
      <w:r>
        <w:t>반면</w:t>
      </w:r>
      <w:r>
        <w:t>(</w:t>
      </w:r>
      <w:r>
        <w:t>균등</w:t>
      </w:r>
      <w:r>
        <w:t xml:space="preserve"> </w:t>
      </w:r>
      <w:r>
        <w:t>분포라면</w:t>
      </w:r>
      <w:r>
        <w:t xml:space="preserve"> 12.5%), </w:t>
      </w:r>
      <w:r>
        <w:t xml:space="preserve">프랑스는 초과가 아홉 시간대에 흩어져 있고 가장 큰 시간대도 27.0%에 그친다(캘리포니아는 다섯 시간대뿐이고 가장 큰 19시 하나가 59.1%다).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 결과는 아무것도 하지 않았을 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 xml:space="preserve">손실은 고르지 않아 94.3%가 캘리포니아에서 나온다. 한편 시간 이동 자체가 만드는 이득도 같은 리전에 쏠린다 — 용량을 두지 않았을 때의 절감 2,651.6 kg 가운데 71.9%가 캘리포니아 몫이다. 탄소집약도가 종일 평탄한 리전에서는 실행 시각을 옮겨도 얻을 것이 없기 때문이다. 잃는 쪽과 얻는 쪽이 같은 리전이다. 용량을 무시한 이 반사실은 같은 정의로 세면 상한 위반이 20,208건이며, 뒤에서 보듯 용량을 인지하면 227건으로 89배 줄어든다. </w:t>
      </w:r>
      <w:r>
        <w:t>리전별 손실 분해는 표 4에, 대조군의 절차는 추가자료에 싣는다.</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 위반 227건은 마감 직전이라 강제로 편입된 106건과 옮길 슬롯이 없어 즉시 실행된 121건이다. 용량을 확인하고 배정한 경로에서는 한 건도 나오지 않았다. 146,000건의 0.16%이고, 이 작업들은 상한을 넘겨 실행되므로 운영자는 해당 리전이 그 시각에 그만큼의 여유를 실제로 갖고 있는지만 확인하면 된다.</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942"/>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 위반이 발생하는 여섯 행에서 절감률이 커지는 순서와 위반이 커지는 순서가 정확히 일치한다.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네 정책 모두 겹침 가중 정확 적분으로 다시 채점해도 절감률이 0.3%p 안에서 같다. Caspian은 재현 실험이 진행 중이다.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 결과가 실무에 주는 함의는 세 가지다. 첫째, 탄소 인지 스케줄링의 이득을 보고할 때 용량을 함께 보고하지 않으면 그 숫자는 비교할 수 없다. 재현한 선행 정책들은 모두 본 연구보다 낮은 배출을 내지만, 같은 상한으로 다시 세면 수만 건의 초과 배정을 전제한다.</w:t>
      </w:r>
    </w:p>
    <w:p w14:paraId="00E56298" w14:textId="77777777" w:rsidR="00CA0C2E" w:rsidRDefault="00000000" w:rsidP="00724B75">
      <w:pPr>
        <w:autoSpaceDE w:val="0"/>
        <w:autoSpaceDN w:val="0"/>
      </w:pPr>
      <w:r>
        <w:rPr>
          <w:sz w:val="18"/>
        </w:rPr>
        <w:t>둘째, 시간 이동을 도입할지 판단하려면 리전별 탄소집약도의 평균이 아니라 변동 폭을 봐야 한다. 물량이 가장 많이 몰린 프랑스는 종일 평탄해, 용량을 두지 않았을 때 시간 이동이 내는 절감 가운데 2.3%만 냈고, 이득의 대부분은 변동이 큰 캘리포니아에서 나왔다.</w:t>
      </w:r>
    </w:p>
    <w:p w14:paraId="00E56298" w14:textId="77777777" w:rsidR="00CA0C2E" w:rsidRDefault="00000000" w:rsidP="00724B75">
      <w:pPr>
        <w:autoSpaceDE w:val="0"/>
        <w:autoSpaceDN w:val="0"/>
      </w:pPr>
      <w:r>
        <w:rPr>
          <w:sz w:val="18"/>
        </w:rPr>
        <w:t>셋째, 예측을 더 잘하는 것보다 용량을 다루는 것이 더 큰 문제다. 두 비용을 직접 비교할 수 있다 —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예측이 정확할수록 여러 작업이 같은 저탄소 구간으로 더 일관되게 수렴하고, 그 수렴이 곧 용량 초과를 만들기 때문이다. 용량 인지는 부가 기능이 아니라 정확한 예측과 반드시 함께 있어야 하는 구성 요소다.</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24시간을 넘는 예측 지평[14]</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 연구의 주된 발견은 총계가 아니라 그 분포에 있다. 용량을 두지 않았을 때 시간 이동이 만드는 절감의 71.9%가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 xml:space="preserve">그 리전에서 상한을 넘긴 시간의 91.38%는 UTC 19~21시, 곧 현지 한낮 세 시간에 몰린다. </w:t>
      </w:r>
      <w:r>
        <w:t xml:space="preserve">반면 탄소집약도가 종일 평탄한 프랑스는 배정 물량이 가장 많음에도 그 절감의 2.3%만 냈다.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pPr>
        <w:autoSpaceDE w:val="0"/>
        <w:autoSpaceDN w:val="0"/>
        <w:spacing w:before="240" w:after="80"/>
      </w:pPr>
      <w:r>
        <w:rPr>
          <w:b/>
          <w:sz w:val="26"/>
        </w:rPr>
        <w:t>참고문헌</w:t>
      </w:r>
    </w:p>
    <w:p>
      <w:pPr>
        <w:autoSpaceDE w:val="0"/>
        <w:autoSpaceDN w:val="0"/>
        <w:spacing w:after="30" w:line="252" w:lineRule="auto"/>
        <w:ind w:left="320" w:hanging="320"/>
      </w:pPr>
      <w:r>
        <w:rPr>
          <w:sz w:val="16"/>
        </w:rPr>
        <w:t>[1] International Energy Agency, Energy and AI, World Energy Outlook Special Report, IEA, Paris, 2025.</w:t>
      </w:r>
    </w:p>
    <w:p>
      <w:pPr>
        <w:autoSpaceDE w:val="0"/>
        <w:autoSpaceDN w:val="0"/>
        <w:spacing w:after="30" w:line="252" w:lineRule="auto"/>
        <w:ind w:left="320" w:hanging="320"/>
      </w:pPr>
      <w:r>
        <w:rPr>
          <w:sz w:val="16"/>
        </w:rPr>
        <w:t>[2] European Parliament and Council, Directive (EU) 2023/1791 of the European Parliament and of the Council of 13 September 2023 on Energy Efficiency (recast), Official Journal of the European Union, 2023.</w:t>
      </w:r>
    </w:p>
    <w:p>
      <w:pPr>
        <w:autoSpaceDE w:val="0"/>
        <w:autoSpaceDN w:val="0"/>
        <w:spacing w:after="30" w:line="252" w:lineRule="auto"/>
        <w:ind w:left="320" w:hanging="320"/>
      </w:pPr>
      <w:r>
        <w:rPr>
          <w:sz w:val="16"/>
        </w:rPr>
        <w:t>[3] A. Radovanović, R. Koningstein, I. Schneider, B. Chen, A. Duarte, B. Roy, D. Xiao, M. Haridasan, P. Hung, N. Care, S. Talukdar, E. Mullen, K. Smith, M. Cottman, and W. Cirne, “Carbon-Aware Computing for Datacenters,” IEEE Transactions on Power Systems, Vol. 38, No. 2, pp. 1270-1280, Mar. 2023.</w:t>
      </w:r>
    </w:p>
    <w:p>
      <w:pPr>
        <w:autoSpaceDE w:val="0"/>
        <w:autoSpaceDN w:val="0"/>
        <w:spacing w:after="30" w:line="252" w:lineRule="auto"/>
        <w:ind w:left="320" w:hanging="320"/>
      </w:pPr>
      <w:r>
        <w:rPr>
          <w:sz w:val="16"/>
        </w:rPr>
        <w:t>[4] A. Souza, S. Jasoria, B. Chakrabarty, A. Bridgwater, A. Lundberg, F. Skogh, D. Irwin, P. Shenoy, and A. Ali-Eldin, “CASPER: Carbon-Aware Scheduling and Provisioning for Distributed Web Services,” Proc. of the 14th Int. Green and Sustainable Computing Conf. (IGSC), Toronto, Canada, 2023.</w:t>
      </w:r>
    </w:p>
    <w:p>
      <w:pPr>
        <w:autoSpaceDE w:val="0"/>
        <w:autoSpaceDN w:val="0"/>
        <w:spacing w:after="30" w:line="252" w:lineRule="auto"/>
        <w:ind w:left="320" w:hanging="320"/>
      </w:pPr>
      <w:r>
        <w:rPr>
          <w:sz w:val="16"/>
        </w:rPr>
        <w:t>[5] D. Maji, B. Pfaff, V. P R, R. Sreenivasan, V. Firoiu, S. Iyer, C. Josephson, Z. Pan, and R. K. Sitaraman, “Bringing Carbon Awareness to Multi-Cloud Application Delivery,” Proc. of the 2nd Workshop on Sustainable Computer Systems (HotCarbon), Boston, USA, pp. 1-6, Jul. 2023.</w:t>
      </w:r>
    </w:p>
    <w:p>
      <w:pPr>
        <w:autoSpaceDE w:val="0"/>
        <w:autoSpaceDN w:val="0"/>
        <w:spacing w:after="30" w:line="252" w:lineRule="auto"/>
        <w:ind w:left="320" w:hanging="320"/>
      </w:pPr>
      <w:r>
        <w:rPr>
          <w:sz w:val="16"/>
        </w:rPr>
        <w:t>[6] T. Sukprasert, A. Souza, N. Bashir, D. Irwin, and P. Shenoy, “On the Limitations of Carbon-Aware Temporal and Spatial Workload Shifting in the Cloud,” Proc. of the 19th European Conf. on Computer Systems (EuroSys), Athens, Greece, pp. 924-941, Apr. 2024.</w:t>
      </w:r>
    </w:p>
    <w:p>
      <w:pPr>
        <w:autoSpaceDE w:val="0"/>
        <w:autoSpaceDN w:val="0"/>
        <w:spacing w:after="30" w:line="252" w:lineRule="auto"/>
        <w:ind w:left="320" w:hanging="320"/>
      </w:pPr>
      <w:r>
        <w:rPr>
          <w:sz w:val="16"/>
        </w:rPr>
        <w:t>[7] W. A. Hanafy, L. Wu, D. Irwin, and P. Shenoy, “CarbonFlex: Enabling Carbon-aware Provisioning and Scheduling for Cloud Clusters,” arXiv:2505.18357, 2025.</w:t>
      </w:r>
    </w:p>
    <w:p>
      <w:pPr>
        <w:autoSpaceDE w:val="0"/>
        <w:autoSpaceDN w:val="0"/>
        <w:spacing w:after="30" w:line="252" w:lineRule="auto"/>
        <w:ind w:left="320" w:hanging="320"/>
      </w:pPr>
      <w:r>
        <w:rPr>
          <w:sz w:val="16"/>
        </w:rPr>
        <w:t>[8] G. Attenni, Y. Moawad, N. Bartolini, and L. Thamsen, “Spatio-Temporal Shifting to Reduce Carbon, Water, and Land-Use Footprints of Cloud Workloads,” arXiv:2512.08725, 2025.</w:t>
      </w:r>
    </w:p>
    <w:p>
      <w:pPr>
        <w:autoSpaceDE w:val="0"/>
        <w:autoSpaceDN w:val="0"/>
        <w:spacing w:after="30" w:line="252" w:lineRule="auto"/>
        <w:ind w:left="320" w:hanging="320"/>
      </w:pPr>
      <w:r>
        <w:rPr>
          <w:sz w:val="16"/>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pPr>
        <w:autoSpaceDE w:val="0"/>
        <w:autoSpaceDN w:val="0"/>
        <w:spacing w:after="30" w:line="252" w:lineRule="auto"/>
        <w:ind w:left="320" w:hanging="320"/>
      </w:pPr>
      <w:r>
        <w:rPr>
          <w:sz w:val="16"/>
        </w:rPr>
        <w:t>[10] Electricity Maps. (2026, Sep. 22). Data Portal [Online]. Available: https://www.electricitymaps.com/data-portal</w:t>
      </w:r>
    </w:p>
    <w:p>
      <w:pPr>
        <w:autoSpaceDE w:val="0"/>
        <w:autoSpaceDN w:val="0"/>
        <w:spacing w:after="30" w:line="252" w:lineRule="auto"/>
        <w:ind w:left="320" w:hanging="320"/>
      </w:pPr>
      <w:r>
        <w:rPr>
          <w:sz w:val="16"/>
        </w:rPr>
        <w:t>[11] Electricity Maps. (2026, Sep. 22). Methodology [Online]. Available: https://www.electricitymaps.com/data/methodology</w:t>
      </w:r>
    </w:p>
    <w:p>
      <w:pPr>
        <w:autoSpaceDE w:val="0"/>
        <w:autoSpaceDN w:val="0"/>
        <w:spacing w:after="30" w:line="252" w:lineRule="auto"/>
        <w:ind w:left="320" w:hanging="320"/>
      </w:pPr>
      <w:r>
        <w:rPr>
          <w:sz w:val="16"/>
        </w:rPr>
        <w:t>[12] Microsoft. (2026, Sep. 22). Azure Network Round-Trip Latency Statistics [Online]. Available: https://learn.microsoft.com/en-us/azure/networking/azure-network-latency</w:t>
      </w:r>
    </w:p>
    <w:p>
      <w:pPr>
        <w:autoSpaceDE w:val="0"/>
        <w:autoSpaceDN w:val="0"/>
        <w:spacing w:after="30" w:line="252" w:lineRule="auto"/>
        <w:ind w:left="320" w:hanging="320"/>
      </w:pPr>
      <w:r>
        <w:rPr>
          <w:sz w:val="16"/>
        </w:rPr>
        <w:t>[13] D. Maji, R. K. Sitaraman, and P. Shenoy, “DACF: Day-Ahead Carbon Intensity Forecasting of Power Grids using Machine Learning,” Proc. of the 13th ACM Int. Conf. on Future Energy Systems (e-Energy), pp. 188-192, Jun.-Jul. 2022.</w:t>
      </w:r>
    </w:p>
    <w:p>
      <w:pPr>
        <w:autoSpaceDE w:val="0"/>
        <w:autoSpaceDN w:val="0"/>
        <w:spacing w:after="30" w:line="252" w:lineRule="auto"/>
        <w:ind w:left="320" w:hanging="320"/>
      </w:pPr>
      <w:r>
        <w:rPr>
          <w:sz w:val="16"/>
        </w:rPr>
        <w:t>[14] D. Maji, P. Shenoy, and R. K. Sitaraman, “CarbonCast: Multi-Day Forecasting of Grid Carbon Intensity,” Proc. of the 9th ACM Int. Conf. on Systems for Energy-Efficient Buildings, Cities, and Transportation (BuildSys), Boston, USA, pp. 198-207, Nov. 2022.</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