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CAST 추가자료</w:t>
        <w:br/>
        <w:t>선행 정책 재현의 원문 수식과 적용 절차</w:t>
      </w:r>
    </w:p>
    <w:p>
      <w:pPr>
        <w:jc w:val="center"/>
      </w:pPr>
      <w:r>
        <w:rPr>
          <w:sz w:val="18"/>
        </w:rPr>
        <w:t>본편: CAST — 리전 용량 제약을 고려한 탄소 인지 시공간 워크로드 스케줄링</w:t>
        <w:br/>
        <w:t>작성 2026-09-24</w:t>
      </w:r>
    </w:p>
    <w:p>
      <w:pPr>
        <w:pStyle w:val="Heading1"/>
      </w:pPr>
      <w:r>
        <w:rPr>
          <w:rFonts w:ascii="맑은 고딕" w:hAnsi="맑은 고딕"/>
        </w:rPr>
        <w:t>수록 목록</w:t>
      </w:r>
    </w:p>
    <w:tbl>
      <w:tblPr>
        <w:tblStyle w:val="TableGrid"/>
        <w:tblW w:type="auto" w:w="0"/>
        <w:tblLook w:firstColumn="1" w:firstRow="1" w:lastColumn="0" w:lastRow="0" w:noHBand="0" w:noVBand="1" w:val="04A0"/>
      </w:tblPr>
      <w:tblGrid>
        <w:gridCol w:w="3173"/>
        <w:gridCol w:w="3173"/>
        <w:gridCol w:w="3173"/>
      </w:tblGrid>
      <w:tr>
        <w:tc>
          <w:tcPr>
            <w:tcW w:type="dxa" w:w="3173"/>
          </w:tcPr>
          <w:p>
            <w:r/>
            <w:r>
              <w:rPr>
                <w:b/>
                <w:sz w:val="17"/>
              </w:rPr>
              <w:t>절</w:t>
            </w:r>
          </w:p>
        </w:tc>
        <w:tc>
          <w:tcPr>
            <w:tcW w:type="dxa" w:w="3173"/>
          </w:tcPr>
          <w:p>
            <w:r/>
            <w:r>
              <w:rPr>
                <w:b/>
                <w:sz w:val="17"/>
              </w:rPr>
              <w:t>내용</w:t>
            </w:r>
          </w:p>
        </w:tc>
        <w:tc>
          <w:tcPr>
            <w:tcW w:type="dxa" w:w="3173"/>
          </w:tcPr>
          <w:p>
            <w:r/>
            <w:r>
              <w:rPr>
                <w:b/>
                <w:sz w:val="17"/>
              </w:rPr>
              <w:t>본편에서 참조하는 곳</w:t>
            </w:r>
          </w:p>
        </w:tc>
      </w:tr>
      <w:tr>
        <w:tc>
          <w:tcPr>
            <w:tcW w:type="dxa" w:w="3173"/>
          </w:tcPr>
          <w:p>
            <w:r/>
            <w:r>
              <w:rPr>
                <w:b w:val="0"/>
                <w:sz w:val="17"/>
              </w:rPr>
              <w:t>A.1</w:t>
            </w:r>
          </w:p>
        </w:tc>
        <w:tc>
          <w:tcPr>
            <w:tcW w:type="dxa" w:w="3173"/>
          </w:tcPr>
          <w:p>
            <w:r/>
            <w:r>
              <w:rPr>
                <w:b w:val="0"/>
                <w:sz w:val="17"/>
              </w:rPr>
              <w:t>재현 원칙과 공용 채점 규약</w:t>
            </w:r>
          </w:p>
        </w:tc>
        <w:tc>
          <w:tcPr>
            <w:tcW w:type="dxa" w:w="3173"/>
          </w:tcPr>
          <w:p>
            <w:r/>
            <w:r>
              <w:rPr>
                <w:b w:val="0"/>
                <w:sz w:val="17"/>
              </w:rPr>
              <w:t>4.4절</w:t>
            </w:r>
          </w:p>
        </w:tc>
      </w:tr>
      <w:tr>
        <w:tc>
          <w:tcPr>
            <w:tcW w:type="dxa" w:w="3173"/>
          </w:tcPr>
          <w:p>
            <w:r/>
            <w:r>
              <w:rPr>
                <w:b w:val="0"/>
                <w:sz w:val="17"/>
              </w:rPr>
              <w:t>A.2</w:t>
            </w:r>
          </w:p>
        </w:tc>
        <w:tc>
          <w:tcPr>
            <w:tcW w:type="dxa" w:w="3173"/>
          </w:tcPr>
          <w:p>
            <w:r/>
            <w:r>
              <w:rPr>
                <w:b w:val="0"/>
                <w:sz w:val="17"/>
              </w:rPr>
              <w:t>CASPER — 공개 코드의 MILP</w:t>
            </w:r>
          </w:p>
        </w:tc>
        <w:tc>
          <w:tcPr>
            <w:tcW w:type="dxa" w:w="3173"/>
          </w:tcPr>
          <w:p>
            <w:r/>
            <w:r>
              <w:rPr>
                <w:b w:val="0"/>
                <w:sz w:val="17"/>
              </w:rPr>
              <w:t>4.4절, 표 5</w:t>
            </w:r>
          </w:p>
        </w:tc>
      </w:tr>
      <w:tr>
        <w:tc>
          <w:tcPr>
            <w:tcW w:type="dxa" w:w="3173"/>
          </w:tcPr>
          <w:p>
            <w:r/>
            <w:r>
              <w:rPr>
                <w:b w:val="0"/>
                <w:sz w:val="17"/>
              </w:rPr>
              <w:t>A.3</w:t>
            </w:r>
          </w:p>
        </w:tc>
        <w:tc>
          <w:tcPr>
            <w:tcW w:type="dxa" w:w="3173"/>
          </w:tcPr>
          <w:p>
            <w:r/>
            <w:r>
              <w:rPr>
                <w:b w:val="0"/>
                <w:sz w:val="17"/>
              </w:rPr>
              <w:t>CICS — Virtual Capacity Curve</w:t>
            </w:r>
          </w:p>
        </w:tc>
        <w:tc>
          <w:tcPr>
            <w:tcW w:type="dxa" w:w="3173"/>
          </w:tcPr>
          <w:p>
            <w:r/>
            <w:r>
              <w:rPr>
                <w:b w:val="0"/>
                <w:sz w:val="17"/>
              </w:rPr>
              <w:t>4.4절, 표 5</w:t>
            </w:r>
          </w:p>
        </w:tc>
      </w:tr>
      <w:tr>
        <w:tc>
          <w:tcPr>
            <w:tcW w:type="dxa" w:w="3173"/>
          </w:tcPr>
          <w:p>
            <w:r/>
            <w:r>
              <w:rPr>
                <w:b w:val="0"/>
                <w:sz w:val="17"/>
              </w:rPr>
              <w:t>A.4</w:t>
            </w:r>
          </w:p>
        </w:tc>
        <w:tc>
          <w:tcPr>
            <w:tcW w:type="dxa" w:w="3173"/>
          </w:tcPr>
          <w:p>
            <w:r/>
            <w:r>
              <w:rPr>
                <w:b w:val="0"/>
                <w:sz w:val="17"/>
              </w:rPr>
              <w:t>Sukprasert — 공개 아티팩트의 탐색</w:t>
            </w:r>
          </w:p>
        </w:tc>
        <w:tc>
          <w:tcPr>
            <w:tcW w:type="dxa" w:w="3173"/>
          </w:tcPr>
          <w:p>
            <w:r/>
            <w:r>
              <w:rPr>
                <w:b w:val="0"/>
                <w:sz w:val="17"/>
              </w:rPr>
              <w:t>4.4절, 표 5</w:t>
            </w:r>
          </w:p>
        </w:tc>
      </w:tr>
      <w:tr>
        <w:tc>
          <w:tcPr>
            <w:tcW w:type="dxa" w:w="3173"/>
          </w:tcPr>
          <w:p>
            <w:r/>
            <w:r>
              <w:rPr>
                <w:b w:val="0"/>
                <w:sz w:val="17"/>
              </w:rPr>
              <w:t>A.5</w:t>
            </w:r>
          </w:p>
        </w:tc>
        <w:tc>
          <w:tcPr>
            <w:tcW w:type="dxa" w:w="3173"/>
          </w:tcPr>
          <w:p>
            <w:r/>
            <w:r>
              <w:rPr>
                <w:b w:val="0"/>
                <w:sz w:val="17"/>
              </w:rPr>
              <w:t>Caspian — 원문 정수 계획 정식화</w:t>
            </w:r>
          </w:p>
        </w:tc>
        <w:tc>
          <w:tcPr>
            <w:tcW w:type="dxa" w:w="3173"/>
          </w:tcPr>
          <w:p>
            <w:r/>
            <w:r>
              <w:rPr>
                <w:b w:val="0"/>
                <w:sz w:val="17"/>
              </w:rPr>
              <w:t>4.4절, 표 5</w:t>
            </w:r>
          </w:p>
        </w:tc>
      </w:tr>
      <w:tr>
        <w:tc>
          <w:tcPr>
            <w:tcW w:type="dxa" w:w="3173"/>
          </w:tcPr>
          <w:p>
            <w:r/>
            <w:r>
              <w:rPr>
                <w:b w:val="0"/>
                <w:sz w:val="17"/>
              </w:rPr>
              <w:t>A.6</w:t>
            </w:r>
          </w:p>
        </w:tc>
        <w:tc>
          <w:tcPr>
            <w:tcW w:type="dxa" w:w="3173"/>
          </w:tcPr>
          <w:p>
            <w:r/>
            <w:r>
              <w:rPr>
                <w:b w:val="0"/>
                <w:sz w:val="17"/>
              </w:rPr>
              <w:t>대응시키지 않은 정책과 그 이유</w:t>
            </w:r>
          </w:p>
        </w:tc>
        <w:tc>
          <w:tcPr>
            <w:tcW w:type="dxa" w:w="3173"/>
          </w:tcPr>
          <w:p>
            <w:r/>
            <w:r>
              <w:rPr>
                <w:b w:val="0"/>
                <w:sz w:val="17"/>
              </w:rPr>
              <w:t>4.4절</w:t>
            </w:r>
          </w:p>
        </w:tc>
      </w:tr>
      <w:tr>
        <w:tc>
          <w:tcPr>
            <w:tcW w:type="dxa" w:w="3173"/>
          </w:tcPr>
          <w:p>
            <w:r/>
            <w:r>
              <w:rPr>
                <w:b w:val="0"/>
                <w:sz w:val="17"/>
              </w:rPr>
              <w:t>A.7</w:t>
            </w:r>
          </w:p>
        </w:tc>
        <w:tc>
          <w:tcPr>
            <w:tcW w:type="dxa" w:w="3173"/>
          </w:tcPr>
          <w:p>
            <w:r/>
            <w:r>
              <w:rPr>
                <w:b w:val="0"/>
                <w:sz w:val="17"/>
              </w:rPr>
              <w:t>선행 연구의 평가 규모</w:t>
            </w:r>
          </w:p>
        </w:tc>
        <w:tc>
          <w:tcPr>
            <w:tcW w:type="dxa" w:w="3173"/>
          </w:tcPr>
          <w:p>
            <w:r/>
            <w:r>
              <w:rPr>
                <w:b w:val="0"/>
                <w:sz w:val="17"/>
              </w:rPr>
              <w:t>5절</w:t>
            </w:r>
          </w:p>
        </w:tc>
      </w:tr>
      <w:tr>
        <w:tc>
          <w:tcPr>
            <w:tcW w:type="dxa" w:w="3173"/>
          </w:tcPr>
          <w:p>
            <w:r/>
            <w:r>
              <w:rPr>
                <w:b w:val="0"/>
                <w:sz w:val="17"/>
              </w:rPr>
              <w:t>A.8</w:t>
            </w:r>
          </w:p>
        </w:tc>
        <w:tc>
          <w:tcPr>
            <w:tcW w:type="dxa" w:w="3173"/>
          </w:tcPr>
          <w:p>
            <w:r/>
            <w:r>
              <w:rPr>
                <w:b w:val="0"/>
                <w:sz w:val="17"/>
              </w:rPr>
              <w:t>아티팩트 — 코드와 재현 절차</w:t>
            </w:r>
          </w:p>
        </w:tc>
        <w:tc>
          <w:tcPr>
            <w:tcW w:type="dxa" w:w="3173"/>
          </w:tcPr>
          <w:p>
            <w:r/>
            <w:r>
              <w:rPr>
                <w:b w:val="0"/>
                <w:sz w:val="17"/>
              </w:rPr>
              <w:t>4.1절</w:t>
            </w:r>
          </w:p>
        </w:tc>
      </w:tr>
      <w:tr>
        <w:tc>
          <w:tcPr>
            <w:tcW w:type="dxa" w:w="3173"/>
          </w:tcPr>
          <w:p>
            <w:r/>
            <w:r>
              <w:rPr>
                <w:b w:val="0"/>
                <w:sz w:val="17"/>
              </w:rPr>
              <w:t>A.9</w:t>
            </w:r>
          </w:p>
        </w:tc>
        <w:tc>
          <w:tcPr>
            <w:tcW w:type="dxa" w:w="3173"/>
          </w:tcPr>
          <w:p>
            <w:r/>
            <w:r>
              <w:rPr>
                <w:b w:val="0"/>
                <w:sz w:val="17"/>
              </w:rPr>
              <w:t>정식화와 알고리즘의 세부</w:t>
            </w:r>
          </w:p>
        </w:tc>
        <w:tc>
          <w:tcPr>
            <w:tcW w:type="dxa" w:w="3173"/>
          </w:tcPr>
          <w:p>
            <w:r/>
            <w:r>
              <w:rPr>
                <w:b w:val="0"/>
                <w:sz w:val="17"/>
              </w:rPr>
              <w:t>3.2절 · 3.4절 · 3.5절</w:t>
            </w:r>
          </w:p>
        </w:tc>
      </w:tr>
    </w:tbl>
    <w:p/>
    <w:p>
      <w:pPr>
        <w:jc w:val="both"/>
      </w:pPr>
      <w:r>
        <w:rPr>
          <w:i/>
          <w:sz w:val="20"/>
        </w:rPr>
        <w:t>표 번호는 본편과 구분하기 위해 S를 붙인다(표 S1 … 표 S13). 본편의 번호와 섞이지 않는다. 본편의 표·그림·식을 가리킬 때는 “본편 표 5”처럼 적는다.</w:t>
      </w:r>
    </w:p>
    <w:p>
      <w:r>
        <w:br w:type="page"/>
      </w:r>
    </w:p>
    <w:p>
      <w:pPr>
        <w:pStyle w:val="Heading1"/>
      </w:pPr>
      <w:r>
        <w:rPr>
          <w:rFonts w:ascii="맑은 고딕" w:hAnsi="맑은 고딕"/>
        </w:rPr>
        <w:t>A.1  재현 원칙과 공용 채점 규약</w:t>
      </w:r>
    </w:p>
    <w:p>
      <w:pPr>
        <w:jc w:val="both"/>
      </w:pPr>
      <w:r>
        <w:rPr>
          <w:i w:val="0"/>
          <w:sz w:val="20"/>
        </w:rPr>
        <w:t>본편 4.4절의 비교표는 선행 연구의 정책을 개념적으로 흉내 낸 것이 아니라, 공개된 구현 코드와 원문 수식을 그대로 옮겨 본 연구와 동일한 데이터·동일한 채점 함수로 실행한 결과다. 그 재현이 정당한지는 결국 “무엇을 그대로 가져왔고 무엇을 바꾸었는가”에 달려 있는데, 이를 본편에 모두 적으면 분량이 감당되지 않는다. 이 문서는 그 내역을 정책별로 남긴다.</w:t>
      </w:r>
    </w:p>
    <w:p>
      <w:pPr>
        <w:jc w:val="both"/>
      </w:pPr>
      <w:r>
        <w:rPr>
          <w:i w:val="0"/>
          <w:sz w:val="20"/>
        </w:rPr>
        <w:t>개념적 대응이 왜 위험한지는 작업 도중 실제로 드러났다. 본 연구는 처음에 CASPER의 가중치 α를 “탄소와 지연의 절충”으로 읽었으나, 원문 Table 1은 α를 “서버 대수 대비 탄소집약도의 정규화 가중치”로 정의한다. 지연은 목적함수가 아니라 별도의 하드 제약이다. 같은 기호가 전혀 다른 것을 절충하고 있었다. 수식을 직접 옮기지 않았다면 이 차이는 표 안으로 조용히 들어갔을 것이다.</w:t>
      </w:r>
    </w:p>
    <w:p>
      <w:pPr>
        <w:pStyle w:val="Heading2"/>
      </w:pPr>
      <w:r>
        <w:rPr>
          <w:rFonts w:ascii="맑은 고딕" w:hAnsi="맑은 고딕"/>
        </w:rPr>
        <w:t>공용 채점 규약</w:t>
      </w:r>
    </w:p>
    <w:p>
      <w:pPr>
        <w:jc w:val="both"/>
      </w:pPr>
      <w:r>
        <w:rPr>
          <w:i w:val="0"/>
          <w:sz w:val="20"/>
        </w:rPr>
        <w:t>모든 재현 구현은 “어느 작업을 어느 리전에서 언제 시작하는가”만 결정한다. 배출량은 구현이 직접 계산하지 않고, 전부 하나의 채점 함수를 통과한다. 이 함수는 본편 3.5절 식 (15)의 회계, 곧 실행 구간에 대한 실측 탄소집약도의 적분을 쓴다.</w:t>
      </w:r>
    </w:p>
    <w:p>
      <w:pPr>
        <w:jc w:val="both"/>
      </w:pPr>
      <w:r>
        <w:rPr>
          <w:i w:val="0"/>
          <w:sz w:val="20"/>
        </w:rPr>
        <w:t>이 규약을 둔 이유는 실제 사고가 있었기 때문이다. 로드밸런서 산출물에 저장된 배출량 열을 그대로 더하면 기준 시나리오가 29,182.6 kg이 되는데, 본편 표 1의 값은 29,225.6 kg이다. 전자는 배정 시점의 옛 회계이고 후자는 배정 결과 위에 실측 계열을 다시 적분한 값이다. 구현마다 자기 회계를 들고 오면 이런 차이가 표 안에서 서로 다른 잣대가 된다. 채점 함수는 기준 시나리오를 29,225.6 kg으로 정확히 재현함을 확인한 뒤 사용하였다.</w:t>
      </w:r>
    </w:p>
    <w:p>
      <w:pPr>
        <w:jc w:val="both"/>
      </w:pPr>
      <w:r>
        <w:rPr>
          <w:i w:val="0"/>
          <w:sz w:val="20"/>
        </w:rPr>
        <w:t>용량 상한 위반 건수 역시 새로 정의하지 않고 본편 4.3절이 쓰는 함수를 그대로 호출한다. 같은 스케줄을 자체 구현으로 세었을 때 127건, 본편 정의로 세었을 때 227건으로 갈렸다 — 같은 시각에 시작한 작업들이 서로를 “이미 실행 중”으로 보는지에서 갈리는 차이다. 본 연구가 227 쪽을 표준으로 삼는 까닭은 슬롯이 정수 시각이어서 같은 tick 에 여러 작업이 함께 시작하는 일이 흔하고, 그때 서로를 세지 않으면 실제 동시 점유를 과소계상하기 때문이다. 정의가 둘이면 표가 갈라진다.</w:t>
      </w:r>
    </w:p>
    <w:p>
      <w:pPr>
        <w:pStyle w:val="Heading1"/>
      </w:pPr>
      <w:r>
        <w:rPr>
          <w:rFonts w:ascii="맑은 고딕" w:hAnsi="맑은 고딕"/>
        </w:rPr>
        <w:t>A.2  CASPER — 공개 코드의 MILP</w:t>
      </w:r>
    </w:p>
    <w:p>
      <w:pPr>
        <w:jc w:val="both"/>
      </w:pPr>
      <w:r>
        <w:rPr>
          <w:i w:val="0"/>
          <w:sz w:val="20"/>
        </w:rPr>
        <w:t>출처는 저자들이 공개한 저장소(github.com/carbonfirst/casper)의 CAP/milp_scheduler.py다. 논문이 서술하는 정식화가 아니라 실제로 실행되는 코드를 옮겼다.</w:t>
      </w:r>
    </w:p>
    <w:p>
      <w:pPr>
        <w:pStyle w:val="Heading2"/>
      </w:pPr>
      <w:r>
        <w:rPr>
          <w:rFonts w:ascii="맑은 고딕" w:hAnsi="맑은 고딕"/>
        </w:rPr>
        <w:t>정식화</w:t>
      </w:r>
    </w:p>
    <w:p>
      <w:pPr>
        <w:spacing w:after="80"/>
        <w:ind w:left="340"/>
      </w:pPr>
      <w:r>
        <w:rPr>
          <w:rFonts w:ascii="Menlo" w:hAnsi="Menlo"/>
          <w:sz w:val="17"/>
        </w:rPr>
        <w:t>목적함수   min  α·(1/(max C·Σ r))·Σ x_ij·C_j  +  (1−α)·(1/S_max)·Σ s_i</w:t>
      </w:r>
    </w:p>
    <w:p>
      <w:pPr>
        <w:spacing w:after="80"/>
        <w:ind w:left="340"/>
      </w:pPr>
      <w:r>
        <w:rPr>
          <w:rFonts w:ascii="Menlo" w:hAnsi="Menlo"/>
          <w:sz w:val="17"/>
        </w:rPr>
        <w:t>지연 제약   x_ij·(ℓ_ij − L_max) ≤ 0        L_max = 500 ms   (하드)</w:t>
      </w:r>
    </w:p>
    <w:p>
      <w:pPr>
        <w:spacing w:after="80"/>
        <w:ind w:left="340"/>
      </w:pPr>
      <w:r>
        <w:rPr>
          <w:rFonts w:ascii="Menlo" w:hAnsi="Menlo"/>
          <w:sz w:val="17"/>
        </w:rPr>
        <w:t>용량 제약   Σ_i x_ij ≤ s_j · κ              κ = 10 요청/서버</w:t>
      </w:r>
    </w:p>
    <w:p>
      <w:pPr>
        <w:spacing w:after="80"/>
        <w:ind w:left="340"/>
      </w:pPr>
      <w:r>
        <w:rPr>
          <w:rFonts w:ascii="Menlo" w:hAnsi="Menlo"/>
          <w:sz w:val="17"/>
        </w:rPr>
        <w:t>수요 제약   Σ_j x_ij = r_i                   (전량 배정)</w:t>
      </w:r>
    </w:p>
    <w:p>
      <w:pPr>
        <w:spacing w:after="80"/>
        <w:ind w:left="340"/>
      </w:pPr>
      <w:r>
        <w:rPr>
          <w:rFonts w:ascii="Menlo" w:hAnsi="Menlo"/>
          <w:sz w:val="17"/>
        </w:rPr>
        <w:t>서버 상한   Σ_i s_i ≤ 100·|R|,  s_i ≤ 100    x, s ∈ 정수</w:t>
      </w:r>
    </w:p>
    <w:p>
      <w:pPr>
        <w:jc w:val="both"/>
      </w:pPr>
      <w:r>
        <w:rPr>
          <w:i w:val="0"/>
          <w:sz w:val="20"/>
        </w:rPr>
        <w:t>여기서 C_j는 리전 j의 탄소집약도, ℓ_ij는 리전 i에서 j로의 지연, r_i는 리전 i에서 발생한 요청 수, s_i는 리전 i에 띄울 서버 수다. 두 항 앞의 계수는 코드가 쓰는 정규화 상수를 그대로 옮긴 것이다. α는 탄소와 지연이 아니라 탄소와 서버 대수를 절충한다.</w:t>
      </w:r>
    </w:p>
    <w:p>
      <w:pPr>
        <w:jc w:val="both"/>
      </w:pPr>
      <w:r>
        <w:rPr>
          <w:i w:val="0"/>
          <w:sz w:val="20"/>
        </w:rPr>
        <w:t>본 재현은 코드에 기록된 값 α=0.9를 사용하였다. 원 논문 본문은 α=0.5로 기술하나, 공개 코드에서 0.5는 비교군인 지연 최소화 스케줄러의 값이며 탄소 스케줄러에는 0.9가 적혀 있다. 두 스케줄러는 가중치만 다른 것이 아니라 목적함수의 첫 항 자체가 다르다 — 한쪽은 탄소집약도를, 다른 쪽은 지연을 싣는다. 재현은 실행되는 코드를 따랐다.</w:t>
      </w:r>
    </w:p>
    <w:p>
      <w:pPr>
        <w:pStyle w:val="Heading2"/>
      </w:pPr>
      <w:r>
        <w:rPr>
          <w:rFonts w:ascii="맑은 고딕" w:hAnsi="맑은 고딕"/>
        </w:rPr>
        <w:t>적용하며 내린 판단</w:t>
      </w:r>
    </w:p>
    <w:p>
      <w:pPr>
        <w:jc w:val="both"/>
      </w:pPr>
      <w:r>
        <w:rPr>
          <w:i w:val="0"/>
          <w:sz w:val="20"/>
        </w:rPr>
        <w:t>CASPER는 웹 요청률을 다루고 본 연구는 배치 작업을 다룬다. 매 시간 슬롯에서 그 시각 제출된 작업 수를 리전별로 세어 r_i로 두었다. CASPER는 실행 시각을 옮기지 않으므로 시작 시각은 제출 시각이다. 원문 파라미터(L_max=500 ms, κ=10, 리전당 서버 100대)는 본 연구 환경에 맞추어 조정하지 않고 그대로 두었다.</w:t>
      </w:r>
    </w:p>
    <w:p>
      <w:pPr>
        <w:pStyle w:val="Heading2"/>
      </w:pPr>
      <w:r>
        <w:rPr>
          <w:rFonts w:ascii="맑은 고딕" w:hAnsi="맑은 고딕"/>
        </w:rPr>
        <w:t>두 제약이 한 번도 활성화되지 않는다</w:t>
      </w:r>
    </w:p>
    <w:p>
      <w:pPr>
        <w:jc w:val="both"/>
      </w:pPr>
      <w:r>
        <w:rPr>
          <w:i w:val="0"/>
          <w:sz w:val="20"/>
        </w:rPr>
        <w:t>이 결정은 결과 해석에 결정적이다. 본 연구의 리전 간 실측 지연은 최대 244 ms이므로 L_max=500 ms 제약은 x의 값과 무관하게 항상 성립한다. 또 시간당 전체 요청 수는 최대 38건인데 리전 하나의 수용량은 100×10=1,000건이므로, 한 시간의 전체 수요가 한 리전에 모두 몰려도 26배의 여유가 남는다. 두 제약 모두 표본 관측이 아니라 최댓값 비교로 비활성이 확정된다.</w:t>
      </w:r>
    </w:p>
    <w:p>
      <w:pPr>
        <w:jc w:val="both"/>
      </w:pPr>
      <w:r>
        <w:rPr>
          <w:i w:val="0"/>
          <w:sz w:val="20"/>
        </w:rPr>
        <w:t>그 결과 CASPER의 해는 매 시간 모든 작업을 그 시각 가장 깨끗한 리전 하나로 보내는 것이 된다. 실제로 임의의 한 시각을 열어 보면 8개 리전에서 발생한 요청 전부의 목적지가 프랑스 하나였다. 이는 구현 오류가 아니라 제약이 없는 최적화의 정상적인 귀결이다.</w:t>
      </w:r>
    </w:p>
    <w:p>
      <w:pPr>
        <w:spacing w:before="120" w:after="40"/>
        <w:jc w:val="center"/>
      </w:pPr>
      <w:r>
        <w:rPr>
          <w:b/>
          <w:sz w:val="17"/>
        </w:rPr>
        <w:t>표 S1. CASPER 두 스케줄러를 본 연구 데이터에 적용한 결과</w:t>
      </w:r>
    </w:p>
    <w:tbl>
      <w:tblPr>
        <w:tblStyle w:val="TableGrid"/>
        <w:tblW w:type="auto" w:w="0"/>
        <w:tblLook w:firstColumn="1" w:firstRow="1" w:lastColumn="0" w:lastRow="0" w:noHBand="0" w:noVBand="1" w:val="04A0"/>
      </w:tblPr>
      <w:tblGrid>
        <w:gridCol w:w="1586"/>
        <w:gridCol w:w="1586"/>
        <w:gridCol w:w="1586"/>
        <w:gridCol w:w="1586"/>
        <w:gridCol w:w="1586"/>
        <w:gridCol w:w="1586"/>
      </w:tblGrid>
      <w:tr>
        <w:tc>
          <w:tcPr>
            <w:tcW w:type="dxa" w:w="1586"/>
          </w:tcPr>
          <w:p>
            <w:r/>
            <w:r>
              <w:rPr>
                <w:b/>
                <w:sz w:val="17"/>
              </w:rPr>
              <w:t>정책</w:t>
            </w:r>
          </w:p>
        </w:tc>
        <w:tc>
          <w:tcPr>
            <w:tcW w:type="dxa" w:w="1586"/>
          </w:tcPr>
          <w:p>
            <w:pPr>
              <w:jc w:val="right"/>
            </w:pPr>
            <w:r/>
            <w:r>
              <w:rPr>
                <w:b/>
                <w:sz w:val="17"/>
              </w:rPr>
              <w:t>총배출(kg)</w:t>
            </w:r>
          </w:p>
        </w:tc>
        <w:tc>
          <w:tcPr>
            <w:tcW w:type="dxa" w:w="1586"/>
          </w:tcPr>
          <w:p>
            <w:pPr>
              <w:jc w:val="right"/>
            </w:pPr>
            <w:r/>
            <w:r>
              <w:rPr>
                <w:b/>
                <w:sz w:val="17"/>
              </w:rPr>
              <w:t>절감률</w:t>
            </w:r>
          </w:p>
        </w:tc>
        <w:tc>
          <w:tcPr>
            <w:tcW w:type="dxa" w:w="1586"/>
          </w:tcPr>
          <w:p>
            <w:pPr>
              <w:jc w:val="right"/>
            </w:pPr>
            <w:r/>
            <w:r>
              <w:rPr>
                <w:b/>
                <w:sz w:val="17"/>
              </w:rPr>
              <w:t>평균 지연</w:t>
            </w:r>
          </w:p>
        </w:tc>
        <w:tc>
          <w:tcPr>
            <w:tcW w:type="dxa" w:w="1586"/>
          </w:tcPr>
          <w:p>
            <w:pPr>
              <w:jc w:val="right"/>
            </w:pPr>
            <w:r/>
            <w:r>
              <w:rPr>
                <w:b/>
                <w:sz w:val="17"/>
              </w:rPr>
              <w:t>마감 위반</w:t>
            </w:r>
          </w:p>
        </w:tc>
        <w:tc>
          <w:tcPr>
            <w:tcW w:type="dxa" w:w="1586"/>
          </w:tcPr>
          <w:p>
            <w:pPr>
              <w:jc w:val="right"/>
            </w:pPr>
            <w:r/>
            <w:r>
              <w:rPr>
                <w:b/>
                <w:sz w:val="17"/>
              </w:rPr>
              <w:t>용량 위반</w:t>
            </w:r>
          </w:p>
        </w:tc>
      </w:tr>
      <w:tr>
        <w:tc>
          <w:tcPr>
            <w:tcW w:type="dxa" w:w="1586"/>
          </w:tcPr>
          <w:p>
            <w:r/>
            <w:r>
              <w:rPr>
                <w:b w:val="0"/>
                <w:sz w:val="17"/>
              </w:rPr>
              <w:t>CASPER 탄소 스케줄러 (α=0.9)</w:t>
            </w:r>
          </w:p>
        </w:tc>
        <w:tc>
          <w:tcPr>
            <w:tcW w:type="dxa" w:w="1586"/>
          </w:tcPr>
          <w:p>
            <w:pPr>
              <w:jc w:val="right"/>
            </w:pPr>
            <w:r/>
            <w:r>
              <w:rPr>
                <w:b w:val="0"/>
                <w:sz w:val="17"/>
              </w:rPr>
              <w:t>1,379.1</w:t>
            </w:r>
          </w:p>
        </w:tc>
        <w:tc>
          <w:tcPr>
            <w:tcW w:type="dxa" w:w="1586"/>
          </w:tcPr>
          <w:p>
            <w:pPr>
              <w:jc w:val="right"/>
            </w:pPr>
            <w:r/>
            <w:r>
              <w:rPr>
                <w:b w:val="0"/>
                <w:sz w:val="17"/>
              </w:rPr>
              <w:t>95.28%</w:t>
            </w:r>
          </w:p>
        </w:tc>
        <w:tc>
          <w:tcPr>
            <w:tcW w:type="dxa" w:w="1586"/>
          </w:tcPr>
          <w:p>
            <w:pPr>
              <w:jc w:val="right"/>
            </w:pPr>
            <w:r/>
            <w:r>
              <w:rPr>
                <w:b w:val="0"/>
                <w:sz w:val="17"/>
              </w:rPr>
              <w:t>120.4 ms</w:t>
            </w:r>
          </w:p>
        </w:tc>
        <w:tc>
          <w:tcPr>
            <w:tcW w:type="dxa" w:w="1586"/>
          </w:tcPr>
          <w:p>
            <w:pPr>
              <w:jc w:val="right"/>
            </w:pPr>
            <w:r/>
            <w:r>
              <w:rPr>
                <w:b w:val="0"/>
                <w:sz w:val="17"/>
              </w:rPr>
              <w:t>0</w:t>
            </w:r>
          </w:p>
        </w:tc>
        <w:tc>
          <w:tcPr>
            <w:tcW w:type="dxa" w:w="1586"/>
          </w:tcPr>
          <w:p>
            <w:pPr>
              <w:jc w:val="right"/>
            </w:pPr>
            <w:r/>
            <w:r>
              <w:rPr>
                <w:b w:val="0"/>
                <w:sz w:val="17"/>
              </w:rPr>
              <w:t>69,310</w:t>
            </w:r>
          </w:p>
        </w:tc>
      </w:tr>
      <w:tr>
        <w:tc>
          <w:tcPr>
            <w:tcW w:type="dxa" w:w="1586"/>
          </w:tcPr>
          <w:p>
            <w:r/>
            <w:r>
              <w:rPr>
                <w:b w:val="0"/>
                <w:sz w:val="17"/>
              </w:rPr>
              <w:t>CASPER 지연 비교군 (α=0.5)</w:t>
            </w:r>
          </w:p>
        </w:tc>
        <w:tc>
          <w:tcPr>
            <w:tcW w:type="dxa" w:w="1586"/>
          </w:tcPr>
          <w:p>
            <w:pPr>
              <w:jc w:val="right"/>
            </w:pPr>
            <w:r/>
            <w:r>
              <w:rPr>
                <w:b w:val="0"/>
                <w:sz w:val="17"/>
              </w:rPr>
              <w:t>29,225.6</w:t>
            </w:r>
          </w:p>
        </w:tc>
        <w:tc>
          <w:tcPr>
            <w:tcW w:type="dxa" w:w="1586"/>
          </w:tcPr>
          <w:p>
            <w:pPr>
              <w:jc w:val="right"/>
            </w:pPr>
            <w:r/>
            <w:r>
              <w:rPr>
                <w:b w:val="0"/>
                <w:sz w:val="17"/>
              </w:rPr>
              <w:t>0.00%</w:t>
            </w:r>
          </w:p>
        </w:tc>
        <w:tc>
          <w:tcPr>
            <w:tcW w:type="dxa" w:w="1586"/>
          </w:tcPr>
          <w:p>
            <w:pPr>
              <w:jc w:val="right"/>
            </w:pPr>
            <w:r/>
            <w:r>
              <w:rPr>
                <w:b w:val="0"/>
                <w:sz w:val="17"/>
              </w:rPr>
              <w:t>0.0 ms</w:t>
            </w:r>
          </w:p>
        </w:tc>
        <w:tc>
          <w:tcPr>
            <w:tcW w:type="dxa" w:w="1586"/>
          </w:tcPr>
          <w:p>
            <w:pPr>
              <w:jc w:val="right"/>
            </w:pPr>
            <w:r/>
            <w:r>
              <w:rPr>
                <w:b w:val="0"/>
                <w:sz w:val="17"/>
              </w:rPr>
              <w:t>0</w:t>
            </w:r>
          </w:p>
        </w:tc>
        <w:tc>
          <w:tcPr>
            <w:tcW w:type="dxa" w:w="1586"/>
          </w:tcPr>
          <w:p>
            <w:pPr>
              <w:jc w:val="right"/>
            </w:pPr>
            <w:r/>
            <w:r>
              <w:rPr>
                <w:b w:val="0"/>
                <w:sz w:val="17"/>
              </w:rPr>
              <w:t>1</w:t>
            </w:r>
          </w:p>
        </w:tc>
      </w:tr>
      <w:tr>
        <w:tc>
          <w:tcPr>
            <w:tcW w:type="dxa" w:w="1586"/>
          </w:tcPr>
          <w:p>
            <w:r/>
            <w:r>
              <w:rPr>
                <w:b w:val="0"/>
                <w:sz w:val="17"/>
              </w:rPr>
              <w:t>(참고) 본 연구 CAST</w:t>
            </w:r>
          </w:p>
        </w:tc>
        <w:tc>
          <w:tcPr>
            <w:tcW w:type="dxa" w:w="1586"/>
          </w:tcPr>
          <w:p>
            <w:pPr>
              <w:jc w:val="right"/>
            </w:pPr>
            <w:r/>
            <w:r>
              <w:rPr>
                <w:b w:val="0"/>
                <w:sz w:val="17"/>
              </w:rPr>
              <w:t>10,805.0</w:t>
            </w:r>
          </w:p>
        </w:tc>
        <w:tc>
          <w:tcPr>
            <w:tcW w:type="dxa" w:w="1586"/>
          </w:tcPr>
          <w:p>
            <w:pPr>
              <w:jc w:val="right"/>
            </w:pPr>
            <w:r/>
            <w:r>
              <w:rPr>
                <w:b w:val="0"/>
                <w:sz w:val="17"/>
              </w:rPr>
              <w:t>63.03%</w:t>
            </w:r>
          </w:p>
        </w:tc>
        <w:tc>
          <w:tcPr>
            <w:tcW w:type="dxa" w:w="1586"/>
          </w:tcPr>
          <w:p>
            <w:pPr>
              <w:jc w:val="right"/>
            </w:pPr>
            <w:r/>
            <w:r>
              <w:rPr>
                <w:b w:val="0"/>
                <w:sz w:val="17"/>
              </w:rPr>
              <w:t>36.2 ms</w:t>
            </w:r>
          </w:p>
        </w:tc>
        <w:tc>
          <w:tcPr>
            <w:tcW w:type="dxa" w:w="1586"/>
          </w:tcPr>
          <w:p>
            <w:pPr>
              <w:jc w:val="right"/>
            </w:pPr>
            <w:r/>
            <w:r>
              <w:rPr>
                <w:b w:val="0"/>
                <w:sz w:val="17"/>
              </w:rPr>
              <w:t>0</w:t>
            </w:r>
          </w:p>
        </w:tc>
        <w:tc>
          <w:tcPr>
            <w:tcW w:type="dxa" w:w="1586"/>
          </w:tcPr>
          <w:p>
            <w:pPr>
              <w:jc w:val="right"/>
            </w:pPr>
            <w:r/>
            <w:r>
              <w:rPr>
                <w:b w:val="0"/>
                <w:sz w:val="17"/>
              </w:rPr>
              <w:t>227</w:t>
            </w:r>
          </w:p>
        </w:tc>
      </w:tr>
    </w:tbl>
    <w:p/>
    <w:p>
      <w:pPr>
        <w:jc w:val="both"/>
      </w:pPr>
      <w:r>
        <w:rPr>
          <w:i w:val="0"/>
          <w:sz w:val="20"/>
        </w:rPr>
        <w:t>지연 비교군이 기준 시나리오와 정확히 같은 값을 낸 것은 구현이 옳다는 방증이다. 탄소를 전혀 보지 않고 지연만 최소화하면 어떤 작업도 옮기지 않는 것이 최적이므로, 홈 리전 즉시 실행과 같아지는 것이 맞다.</w:t>
      </w:r>
    </w:p>
    <w:p>
      <w:pPr>
        <w:jc w:val="both"/>
      </w:pPr>
      <w:r>
        <w:rPr>
          <w:i w:val="0"/>
          <w:sz w:val="20"/>
        </w:rPr>
        <w:t>탄소 스케줄러의 1,379.1 kg은 본 연구가 스스로에게 부과한 용량 상한을 CASPER에는 적용하지 않았을 때의 값이다. 같은 상한으로 다시 세면 배정의 47.5%가 위반이다. CASPER 원문에 그러한 상한이 없으므로 임의로 조이지 않았으나, 이 숫자가 낮은 이유가 더 나은 정책이어서가 아니라 더 느슨한 용량 전제 때문이라는 점은 함께 읽어야 한다.</w:t>
      </w:r>
    </w:p>
    <w:p>
      <w:pPr>
        <w:pStyle w:val="Heading1"/>
      </w:pPr>
      <w:r>
        <w:rPr>
          <w:rFonts w:ascii="맑은 고딕" w:hAnsi="맑은 고딕"/>
        </w:rPr>
        <w:t>A.3  CICS — Virtual Capacity Curve</w:t>
      </w:r>
    </w:p>
    <w:p>
      <w:pPr>
        <w:jc w:val="both"/>
      </w:pPr>
      <w:r>
        <w:rPr>
          <w:i w:val="0"/>
          <w:sz w:val="20"/>
        </w:rPr>
        <w:t>출처는 Radovanović 등의 논문 3절 C항, 식 (4)와 그 뒤의 제약식이다. 공개 코드가 없어 수식을 직접 옮겼다.</w:t>
      </w:r>
    </w:p>
    <w:p>
      <w:pPr>
        <w:spacing w:after="80"/>
        <w:ind w:left="340"/>
      </w:pPr>
      <w:r>
        <w:rPr>
          <w:rFonts w:ascii="Menlo" w:hAnsi="Menlo"/>
          <w:sz w:val="17"/>
        </w:rPr>
        <w:t>목적함수  min  λe·Σ_{c,h} η_c(h)·( Pow_c + π_c·δ(c,h)·τ_c/24 )  +  λp·Σ_c y_c</w:t>
      </w:r>
    </w:p>
    <w:p>
      <w:pPr>
        <w:spacing w:after="80"/>
        <w:ind w:left="340"/>
      </w:pPr>
      <w:r>
        <w:rPr>
          <w:rFonts w:ascii="Menlo" w:hAnsi="Menlo"/>
          <w:sz w:val="17"/>
        </w:rPr>
        <w:t>일일 보존   Σ_h δ(c,h) = 0     ∀c</w:t>
      </w:r>
    </w:p>
    <w:p>
      <w:pPr>
        <w:spacing w:after="80"/>
        <w:ind w:left="340"/>
      </w:pPr>
      <w:r>
        <w:rPr>
          <w:rFonts w:ascii="Menlo" w:hAnsi="Menlo"/>
          <w:sz w:val="17"/>
        </w:rPr>
        <w:t>첨두 정의   y_c ≥ (1+δ(c,h))·τ_c/24    ∀h</w:t>
      </w:r>
    </w:p>
    <w:p>
      <w:pPr>
        <w:jc w:val="both"/>
      </w:pPr>
      <w:r>
        <w:rPr>
          <w:i w:val="0"/>
          <w:sz w:val="20"/>
        </w:rPr>
        <w:t>δ(c,h)는 클러스터 c의 h 시각 유연 부하가 그 날 시간 평균에서 벗어나는 정도이고, y_c는 그 날의 첨두 상한이다. 일일 보존 제약이 CICS의 핵심이다 — 하루 총량은 그대로 두고 시간별 모양만 바꾸므로, 모든 유연 작업이 그 날 안에 끝난다.</w:t>
      </w:r>
    </w:p>
    <w:p>
      <w:pPr>
        <w:pStyle w:val="Heading2"/>
      </w:pPr>
      <w:r>
        <w:rPr>
          <w:rFonts w:ascii="맑은 고딕" w:hAnsi="맑은 고딕"/>
        </w:rPr>
        <w:t>적용하며 내린 판단</w:t>
      </w:r>
    </w:p>
    <w:p>
      <w:pPr>
        <w:jc w:val="both"/>
      </w:pPr>
      <w:r>
        <w:rPr>
          <w:i w:val="0"/>
          <w:sz w:val="20"/>
        </w:rPr>
        <w:t>Pow 항은 δ에 무관한 상수이므로 최적해가 달라지지 않아 제외하였다. π는 전력 민감도 계수인데 본 연구의 회계는 작업당 고정 전력을 쓰므로 상수가 된다. CICS는 CPU 사용량을 다루고 본 연구는 개별 작업을 다루므로, 그 날 그 리전에 도착한 작업 수를 τ_c로 두고 곡선을 “그 시각에 시작을 허용하는 작업 수”로 읽었다. 이렇게 하면 일일 보존 제약이 “하루 총 허용량 = 그 날 도착한 작업 수”가 되어 원문의 뜻과 일치한다.</w:t>
      </w:r>
    </w:p>
    <w:p>
      <w:pPr>
        <w:jc w:val="both"/>
      </w:pPr>
      <w:r>
        <w:rPr>
          <w:i w:val="0"/>
          <w:sz w:val="20"/>
        </w:rPr>
        <w:t>λp와 λe의 비를 알 수 없으므로 하나를 고르지 않고 0에서 5까지 쓸었다. 결과는 25,203.4 kg에서 25,202.4 kg 사이로 사실상 움직이지 않았다. 본 연구의 작업은 길이가 짧고 마감이 촘촘해 곡선을 평탄하게 만들 여지 자체가 적기 때문이다.</w:t>
      </w:r>
    </w:p>
    <w:p>
      <w:pPr>
        <w:jc w:val="both"/>
      </w:pPr>
      <w:r>
        <w:rPr>
          <w:i w:val="0"/>
          <w:sz w:val="20"/>
        </w:rPr>
        <w:t>CICS에는 작업별 마감이 없고 “하루 안에 끝난다”만 있다. 본 연구의 작업에는 마감이 있으므로 대기열에서 마감이 임박한 순으로 뽑되, 이번 슬롯이 마지막 기회인 작업은 곡선의 상한을 넘겨 내보냈다. 이 예외가 37,594건, 곧 전체의 26%에 해당한다. 이는 CICS의 결함이 아니라 전제가 다른 데서 오는 차이다.</w:t>
      </w:r>
    </w:p>
    <w:p>
      <w:pPr>
        <w:spacing w:before="120" w:after="40"/>
        <w:jc w:val="center"/>
      </w:pPr>
      <w:r>
        <w:rPr>
          <w:b/>
          <w:sz w:val="17"/>
        </w:rPr>
        <w:t>표 S2. CICS와 본 연구를 같은 축에서 비교한 결과</w:t>
      </w:r>
    </w:p>
    <w:tbl>
      <w:tblPr>
        <w:tblStyle w:val="TableGrid"/>
        <w:tblW w:type="auto" w:w="0"/>
        <w:tblLook w:firstColumn="1" w:firstRow="1" w:lastColumn="0" w:lastRow="0" w:noHBand="0" w:noVBand="1" w:val="04A0"/>
      </w:tblPr>
      <w:tblGrid>
        <w:gridCol w:w="1904"/>
        <w:gridCol w:w="1904"/>
        <w:gridCol w:w="1904"/>
        <w:gridCol w:w="1904"/>
        <w:gridCol w:w="1904"/>
      </w:tblGrid>
      <w:tr>
        <w:tc>
          <w:tcPr>
            <w:tcW w:type="dxa" w:w="1904"/>
          </w:tcPr>
          <w:p>
            <w:r/>
            <w:r>
              <w:rPr>
                <w:b/>
                <w:sz w:val="17"/>
              </w:rPr>
              <w:t>정책 (홈 리전 고정, 시간 축만)</w:t>
            </w:r>
          </w:p>
        </w:tc>
        <w:tc>
          <w:tcPr>
            <w:tcW w:type="dxa" w:w="1904"/>
          </w:tcPr>
          <w:p>
            <w:pPr>
              <w:jc w:val="right"/>
            </w:pPr>
            <w:r/>
            <w:r>
              <w:rPr>
                <w:b/>
                <w:sz w:val="17"/>
              </w:rPr>
              <w:t>총배출(kg)</w:t>
            </w:r>
          </w:p>
        </w:tc>
        <w:tc>
          <w:tcPr>
            <w:tcW w:type="dxa" w:w="1904"/>
          </w:tcPr>
          <w:p>
            <w:pPr>
              <w:jc w:val="right"/>
            </w:pPr>
            <w:r/>
            <w:r>
              <w:rPr>
                <w:b/>
                <w:sz w:val="17"/>
              </w:rPr>
              <w:t>절감률</w:t>
            </w:r>
          </w:p>
        </w:tc>
        <w:tc>
          <w:tcPr>
            <w:tcW w:type="dxa" w:w="1904"/>
          </w:tcPr>
          <w:p>
            <w:pPr>
              <w:jc w:val="right"/>
            </w:pPr>
            <w:r/>
            <w:r>
              <w:rPr>
                <w:b/>
                <w:sz w:val="17"/>
              </w:rPr>
              <w:t>마감 위반</w:t>
            </w:r>
          </w:p>
        </w:tc>
        <w:tc>
          <w:tcPr>
            <w:tcW w:type="dxa" w:w="1904"/>
          </w:tcPr>
          <w:p>
            <w:pPr>
              <w:jc w:val="right"/>
            </w:pPr>
            <w:r/>
            <w:r>
              <w:rPr>
                <w:b/>
                <w:sz w:val="17"/>
              </w:rPr>
              <w:t>용량 위반</w:t>
            </w:r>
          </w:p>
        </w:tc>
      </w:tr>
      <w:tr>
        <w:tc>
          <w:tcPr>
            <w:tcW w:type="dxa" w:w="1904"/>
          </w:tcPr>
          <w:p>
            <w:r/>
            <w:r>
              <w:rPr>
                <w:b w:val="0"/>
                <w:sz w:val="17"/>
              </w:rPr>
              <w:t>CICS Virtual Capacity Curve</w:t>
            </w:r>
          </w:p>
        </w:tc>
        <w:tc>
          <w:tcPr>
            <w:tcW w:type="dxa" w:w="1904"/>
          </w:tcPr>
          <w:p>
            <w:pPr>
              <w:jc w:val="right"/>
            </w:pPr>
            <w:r/>
            <w:r>
              <w:rPr>
                <w:b w:val="0"/>
                <w:sz w:val="17"/>
              </w:rPr>
              <w:t>25,203.4</w:t>
            </w:r>
          </w:p>
        </w:tc>
        <w:tc>
          <w:tcPr>
            <w:tcW w:type="dxa" w:w="1904"/>
          </w:tcPr>
          <w:p>
            <w:pPr>
              <w:jc w:val="right"/>
            </w:pPr>
            <w:r/>
            <w:r>
              <w:rPr>
                <w:b w:val="0"/>
                <w:sz w:val="17"/>
              </w:rPr>
              <w:t>13.76%</w:t>
            </w:r>
          </w:p>
        </w:tc>
        <w:tc>
          <w:tcPr>
            <w:tcW w:type="dxa" w:w="1904"/>
          </w:tcPr>
          <w:p>
            <w:pPr>
              <w:jc w:val="right"/>
            </w:pPr>
            <w:r/>
            <w:r>
              <w:rPr>
                <w:b w:val="0"/>
                <w:sz w:val="17"/>
              </w:rPr>
              <w:t>0</w:t>
            </w:r>
          </w:p>
        </w:tc>
        <w:tc>
          <w:tcPr>
            <w:tcW w:type="dxa" w:w="1904"/>
          </w:tcPr>
          <w:p>
            <w:pPr>
              <w:jc w:val="right"/>
            </w:pPr>
            <w:r/>
            <w:r>
              <w:rPr>
                <w:b w:val="0"/>
                <w:sz w:val="17"/>
              </w:rPr>
              <w:t>0</w:t>
            </w:r>
          </w:p>
        </w:tc>
      </w:tr>
      <w:tr>
        <w:tc>
          <w:tcPr>
            <w:tcW w:type="dxa" w:w="1904"/>
          </w:tcPr>
          <w:p>
            <w:r/>
            <w:r>
              <w:rPr>
                <w:b w:val="0"/>
                <w:sz w:val="17"/>
              </w:rPr>
              <w:t>본 연구 시간 이동만</w:t>
            </w:r>
          </w:p>
        </w:tc>
        <w:tc>
          <w:tcPr>
            <w:tcW w:type="dxa" w:w="1904"/>
          </w:tcPr>
          <w:p>
            <w:pPr>
              <w:jc w:val="right"/>
            </w:pPr>
            <w:r/>
            <w:r>
              <w:rPr>
                <w:b w:val="0"/>
                <w:sz w:val="17"/>
              </w:rPr>
              <w:t>23,789.1</w:t>
            </w:r>
          </w:p>
        </w:tc>
        <w:tc>
          <w:tcPr>
            <w:tcW w:type="dxa" w:w="1904"/>
          </w:tcPr>
          <w:p>
            <w:pPr>
              <w:jc w:val="right"/>
            </w:pPr>
            <w:r/>
            <w:r>
              <w:rPr>
                <w:b w:val="0"/>
                <w:sz w:val="17"/>
              </w:rPr>
              <w:t>18.60%</w:t>
            </w:r>
          </w:p>
        </w:tc>
        <w:tc>
          <w:tcPr>
            <w:tcW w:type="dxa" w:w="1904"/>
          </w:tcPr>
          <w:p>
            <w:pPr>
              <w:jc w:val="right"/>
            </w:pPr>
            <w:r/>
            <w:r>
              <w:rPr>
                <w:b w:val="0"/>
                <w:sz w:val="17"/>
              </w:rPr>
              <w:t>0</w:t>
            </w:r>
          </w:p>
        </w:tc>
        <w:tc>
          <w:tcPr>
            <w:tcW w:type="dxa" w:w="1904"/>
          </w:tcPr>
          <w:p>
            <w:pPr>
              <w:jc w:val="right"/>
            </w:pPr>
            <w:r/>
            <w:r>
              <w:rPr>
                <w:b w:val="0"/>
                <w:sz w:val="17"/>
              </w:rPr>
              <w:t>24</w:t>
            </w:r>
          </w:p>
        </w:tc>
      </w:tr>
    </w:tbl>
    <w:p/>
    <w:p>
      <w:pPr>
        <w:jc w:val="both"/>
      </w:pPr>
      <w:r>
        <w:rPr>
          <w:i w:val="0"/>
          <w:sz w:val="20"/>
        </w:rPr>
        <w:t>같은 축에서 본 연구가 4.84%포인트 앞선다. 차이는 결정 시점에 있다. CICS는 하루 전에 시간별 곡선을 그리므로 개별 작업의 마감을 알지 못한 채 허용량을 배분하고, 곡선이 저탄소 시각에 자리를 열어도 그때까지 기다릴 수 있는 작업이 이미 남아 있지 않은 일이 생긴다. 본 연구의 알고리즘은 매 슬롯마다 각 작업의 남은 창을 다시 본다.</w:t>
      </w:r>
    </w:p>
    <w:p>
      <w:pPr>
        <w:pStyle w:val="Heading1"/>
      </w:pPr>
      <w:r>
        <w:rPr>
          <w:rFonts w:ascii="맑은 고딕" w:hAnsi="맑은 고딕"/>
        </w:rPr>
        <w:t>A.4  Sukprasert — 공개 아티팩트의 탐색 알고리즘</w:t>
      </w:r>
    </w:p>
    <w:p>
      <w:pPr>
        <w:jc w:val="both"/>
      </w:pPr>
      <w:r>
        <w:rPr>
          <w:i w:val="0"/>
          <w:sz w:val="20"/>
        </w:rPr>
        <w:t>출처는 저자들이 공개한 아티팩트(zenodo.org/records/10790855)의 시뮬레이션 코드다. 시간 이동은 제출 시각부터 여유 시간까지의 창에서 연속 구간 합이 최소인 시작점을 고르고, 공간과 시간을 함께 쓰는 경우에는 리전과 시작 시각의 격자를 전수 탐색한다.</w:t>
      </w:r>
    </w:p>
    <w:p>
      <w:pPr>
        <w:pStyle w:val="Heading2"/>
      </w:pPr>
      <w:r>
        <w:rPr>
          <w:rFonts w:ascii="맑은 고딕" w:hAnsi="맑은 고딕"/>
        </w:rPr>
        <w:t>적용하며 내린 판단</w:t>
      </w:r>
    </w:p>
    <w:p>
      <w:pPr>
        <w:jc w:val="both"/>
      </w:pPr>
      <w:r>
        <w:rPr>
          <w:i w:val="0"/>
          <w:sz w:val="20"/>
        </w:rPr>
        <w:t>원문 3절 2항이 “미래 탄소집약도와 작업 길이를 완전히 안다고 가정한다”고 밝히므로, 재현에서도 예측값이 아니라 실측 계열로 결정하였다. 원문의 워크로드 특성 표에 용량 항목이 없고 동시 실행 수를 확인하는 코드도 없어 용량 제약은 두지 않았다. 원문은 여유 시간을 24·168·480시간 따위로 고정해 스윕하지만, 그 표가 여유 시간을 작업이 갖는 한 차원으로 일반화해 두었으므로 여기서는 작업마다 자기 마감을 그대로 썼다 — 고정 스윕값은 집계 분석을 위한 저자들의 선택이지 알고리즘의 제약이 아니다.</w:t>
      </w:r>
    </w:p>
    <w:p>
      <w:pPr>
        <w:jc w:val="both"/>
      </w:pPr>
      <w:r>
        <w:rPr>
          <w:i w:val="0"/>
          <w:sz w:val="20"/>
        </w:rPr>
        <w:t>동점 처리는 두 경우를 구분해야 한다. 시간 축에서 같은 값이 여럿이면 가장 이른 시각을 택하는데, 이는 원문이 쓰는 pandas 의 최솟값 색인이 첫 항목을 돌려주는 것과 같은 동작이다. 반면 공간과 시간을 함께 풀 때 서로 다른 리전이 같은 값을 내는 경우의 규칙은 원문에 없다 — 원문은 목적지 리전을 하나 정해 두고 그 리전에 대해서만 계산하므로 그런 동점이 생기지 않는다. 본 재현에서는 리전 목록의 앞선 리전을 택했고, 이 선택은 본 연구가 정한 것이다.</w:t>
      </w:r>
    </w:p>
    <w:p>
      <w:pPr>
        <w:jc w:val="both"/>
      </w:pPr>
      <w:r>
        <w:rPr>
          <w:i w:val="0"/>
          <w:sz w:val="20"/>
        </w:rPr>
        <w:t>표에서 “시간 이동만”은 홈 리전 고정이 아니다. 공간 배정은 본 연구의 무릎점 자동 선택 결과를 그대로 물려받고 시간 축의 알고리즘만 Sukprasert 의 것으로 갈아끼운 대조다 — 그래서 평균 네트워크 지연이 본편 표 1 의 무릎점 값과 같다. 공간 축까지 함께 푸는 것은 다음 행(“공간 + 시간”)이다.</w:t>
      </w:r>
    </w:p>
    <w:p>
      <w:pPr>
        <w:spacing w:before="120" w:after="40"/>
        <w:jc w:val="center"/>
      </w:pPr>
      <w:r>
        <w:rPr>
          <w:b/>
          <w:sz w:val="17"/>
        </w:rPr>
        <w:t>표 S3. Sukprasert 알고리즘을 본 연구 데이터에 적용한 결과</w:t>
      </w:r>
    </w:p>
    <w:tbl>
      <w:tblPr>
        <w:tblStyle w:val="TableGrid"/>
        <w:tblW w:type="auto" w:w="0"/>
        <w:tblLook w:firstColumn="1" w:firstRow="1" w:lastColumn="0" w:lastRow="0" w:noHBand="0" w:noVBand="1" w:val="04A0"/>
      </w:tblPr>
      <w:tblGrid>
        <w:gridCol w:w="1904"/>
        <w:gridCol w:w="1904"/>
        <w:gridCol w:w="1904"/>
        <w:gridCol w:w="1904"/>
        <w:gridCol w:w="1904"/>
      </w:tblGrid>
      <w:tr>
        <w:tc>
          <w:tcPr>
            <w:tcW w:type="dxa" w:w="1904"/>
          </w:tcPr>
          <w:p>
            <w:r/>
            <w:r>
              <w:rPr>
                <w:b/>
                <w:sz w:val="17"/>
              </w:rPr>
              <w:t>정책 (완전예지, 용량 무제약)</w:t>
            </w:r>
          </w:p>
        </w:tc>
        <w:tc>
          <w:tcPr>
            <w:tcW w:type="dxa" w:w="1904"/>
          </w:tcPr>
          <w:p>
            <w:pPr>
              <w:jc w:val="right"/>
            </w:pPr>
            <w:r/>
            <w:r>
              <w:rPr>
                <w:b/>
                <w:sz w:val="17"/>
              </w:rPr>
              <w:t>총배출(kg)</w:t>
            </w:r>
          </w:p>
        </w:tc>
        <w:tc>
          <w:tcPr>
            <w:tcW w:type="dxa" w:w="1904"/>
          </w:tcPr>
          <w:p>
            <w:pPr>
              <w:jc w:val="right"/>
            </w:pPr>
            <w:r/>
            <w:r>
              <w:rPr>
                <w:b/>
                <w:sz w:val="17"/>
              </w:rPr>
              <w:t>절감률</w:t>
            </w:r>
          </w:p>
        </w:tc>
        <w:tc>
          <w:tcPr>
            <w:tcW w:type="dxa" w:w="1904"/>
          </w:tcPr>
          <w:p>
            <w:pPr>
              <w:jc w:val="right"/>
            </w:pPr>
            <w:r/>
            <w:r>
              <w:rPr>
                <w:b/>
                <w:sz w:val="17"/>
              </w:rPr>
              <w:t>평균 지연</w:t>
            </w:r>
          </w:p>
        </w:tc>
        <w:tc>
          <w:tcPr>
            <w:tcW w:type="dxa" w:w="1904"/>
          </w:tcPr>
          <w:p>
            <w:pPr>
              <w:jc w:val="right"/>
            </w:pPr>
            <w:r/>
            <w:r>
              <w:rPr>
                <w:b/>
                <w:sz w:val="17"/>
              </w:rPr>
              <w:t>용량 위반</w:t>
            </w:r>
          </w:p>
        </w:tc>
      </w:tr>
      <w:tr>
        <w:tc>
          <w:tcPr>
            <w:tcW w:type="dxa" w:w="1904"/>
          </w:tcPr>
          <w:p>
            <w:r/>
            <w:r>
              <w:rPr>
                <w:b w:val="0"/>
                <w:sz w:val="17"/>
              </w:rPr>
              <w:t>시간 이동만</w:t>
            </w:r>
          </w:p>
        </w:tc>
        <w:tc>
          <w:tcPr>
            <w:tcW w:type="dxa" w:w="1904"/>
          </w:tcPr>
          <w:p>
            <w:pPr>
              <w:jc w:val="right"/>
            </w:pPr>
            <w:r/>
            <w:r>
              <w:rPr>
                <w:b w:val="0"/>
                <w:sz w:val="17"/>
              </w:rPr>
              <w:t>9,583.6</w:t>
            </w:r>
          </w:p>
        </w:tc>
        <w:tc>
          <w:tcPr>
            <w:tcW w:type="dxa" w:w="1904"/>
          </w:tcPr>
          <w:p>
            <w:pPr>
              <w:jc w:val="right"/>
            </w:pPr>
            <w:r/>
            <w:r>
              <w:rPr>
                <w:b w:val="0"/>
                <w:sz w:val="17"/>
              </w:rPr>
              <w:t>67.21%</w:t>
            </w:r>
          </w:p>
        </w:tc>
        <w:tc>
          <w:tcPr>
            <w:tcW w:type="dxa" w:w="1904"/>
          </w:tcPr>
          <w:p>
            <w:pPr>
              <w:jc w:val="right"/>
            </w:pPr>
            <w:r/>
            <w:r>
              <w:rPr>
                <w:b w:val="0"/>
                <w:sz w:val="17"/>
              </w:rPr>
              <w:t>36.2 ms</w:t>
            </w:r>
          </w:p>
        </w:tc>
        <w:tc>
          <w:tcPr>
            <w:tcW w:type="dxa" w:w="1904"/>
          </w:tcPr>
          <w:p>
            <w:pPr>
              <w:jc w:val="right"/>
            </w:pPr>
            <w:r/>
            <w:r>
              <w:rPr>
                <w:b w:val="0"/>
                <w:sz w:val="17"/>
              </w:rPr>
              <w:t>49,356</w:t>
            </w:r>
          </w:p>
        </w:tc>
      </w:tr>
      <w:tr>
        <w:tc>
          <w:tcPr>
            <w:tcW w:type="dxa" w:w="1904"/>
          </w:tcPr>
          <w:p>
            <w:r/>
            <w:r>
              <w:rPr>
                <w:b w:val="0"/>
                <w:sz w:val="17"/>
              </w:rPr>
              <w:t>공간 + 시간</w:t>
            </w:r>
          </w:p>
        </w:tc>
        <w:tc>
          <w:tcPr>
            <w:tcW w:type="dxa" w:w="1904"/>
          </w:tcPr>
          <w:p>
            <w:pPr>
              <w:jc w:val="right"/>
            </w:pPr>
            <w:r/>
            <w:r>
              <w:rPr>
                <w:b w:val="0"/>
                <w:sz w:val="17"/>
              </w:rPr>
              <w:t>990.8</w:t>
            </w:r>
          </w:p>
        </w:tc>
        <w:tc>
          <w:tcPr>
            <w:tcW w:type="dxa" w:w="1904"/>
          </w:tcPr>
          <w:p>
            <w:pPr>
              <w:jc w:val="right"/>
            </w:pPr>
            <w:r/>
            <w:r>
              <w:rPr>
                <w:b w:val="0"/>
                <w:sz w:val="17"/>
              </w:rPr>
              <w:t>96.61%</w:t>
            </w:r>
          </w:p>
        </w:tc>
        <w:tc>
          <w:tcPr>
            <w:tcW w:type="dxa" w:w="1904"/>
          </w:tcPr>
          <w:p>
            <w:pPr>
              <w:jc w:val="right"/>
            </w:pPr>
            <w:r/>
            <w:r>
              <w:rPr>
                <w:b w:val="0"/>
                <w:sz w:val="17"/>
              </w:rPr>
              <w:t>120.4 ms</w:t>
            </w:r>
          </w:p>
        </w:tc>
        <w:tc>
          <w:tcPr>
            <w:tcW w:type="dxa" w:w="1904"/>
          </w:tcPr>
          <w:p>
            <w:pPr>
              <w:jc w:val="right"/>
            </w:pPr>
            <w:r/>
            <w:r>
              <w:rPr>
                <w:b w:val="0"/>
                <w:sz w:val="17"/>
              </w:rPr>
              <w:t>120,186</w:t>
            </w:r>
          </w:p>
        </w:tc>
      </w:tr>
    </w:tbl>
    <w:p/>
    <w:p>
      <w:pPr>
        <w:jc w:val="both"/>
      </w:pPr>
      <w:r>
        <w:rPr>
          <w:i w:val="0"/>
          <w:sz w:val="20"/>
        </w:rPr>
        <w:t>공간과 시간을 함께 쓴 경우의 96.61%는 알고리즘의 성취라기보다 데이터의 성질이다. 본 연구의 8개 리전 가운데 프랑스의 연평균 탄소집약도는 13.6 gCO₂/kWh로 전체 평균 279.8의 약 20분의 1이다. 제약이 없으면 최적해는 사실상 “전부 프랑스로”가 되며, 실제로 146,000건의 99.75%인 145,641건이 프랑스에 배정되고 여덟 리전 중 여섯 곳은 한 건도 받지 못했다.</w:t>
      </w:r>
    </w:p>
    <w:p>
      <w:pPr>
        <w:jc w:val="both"/>
      </w:pPr>
      <w:r>
        <w:rPr>
          <w:i w:val="0"/>
          <w:sz w:val="20"/>
        </w:rPr>
        <w:t>같은 현상을 원문도 보고한다. 원문 5절 1항 1목은 “모든 작업이 스웨덴으로 이동한다”고 적으며 그 결과를 96% 감축으로 제시한다. 서로 다른 리전 집합과 서로 다른 연도의 자료에서 같은 구조가 같은 방식으로 나타났다는 점이 재현이 옳다는 근거가 된다.</w:t>
      </w:r>
    </w:p>
    <w:p>
      <w:pPr>
        <w:jc w:val="both"/>
      </w:pPr>
      <w:r>
        <w:rPr>
          <w:i w:val="0"/>
          <w:sz w:val="20"/>
        </w:rPr>
        <w:t>다만 이 배치는 산술적으로만 성립한다. 같은 스케줄을 본 연구의 용량 상한으로 다시 세면 120,186건이 위반이다. 원문 역시 이 값을 달성 가능한 결과가 아니라 이상적 상한으로 다루며, 5절 1항 2목에서 전 리전이 50% 가동률일 때 감축이 51.5%로 떨어져 이상적 조건 대비 1.9배 줄어든다고 보고한다. 그 용량 정의는 전역적으로 균일한 정적 가정이고 공간 축에만 적용되므로, 본 연구가 슬롯마다 강제하는 동적 상한과 같은 눈금에 놓을 수 없다. 두 연구가 같은 눈금에서 만나는 지점은 숫자가 아니라 결론이다 — 제약 없는 최적해는 실행할 수 없다는 것.</w:t>
      </w:r>
    </w:p>
    <w:p>
      <w:pPr>
        <w:pStyle w:val="Heading1"/>
      </w:pPr>
      <w:r>
        <w:rPr>
          <w:rFonts w:ascii="맑은 고딕" w:hAnsi="맑은 고딕"/>
        </w:rPr>
        <w:t>A.5  Caspian — 원문 정수 계획 정식화</w:t>
      </w:r>
    </w:p>
    <w:p>
      <w:pPr>
        <w:jc w:val="both"/>
      </w:pPr>
      <w:r>
        <w:rPr>
          <w:i w:val="0"/>
          <w:sz w:val="20"/>
        </w:rPr>
        <w:t>Caspian 은 공개 코드가 없어 논문의 수식이 유일한 원본이다. 아래는 원문 2절의 정식화를 번호까지 그대로 옮긴 것이다.</w:t>
      </w:r>
    </w:p>
    <w:p>
      <w:pPr>
        <w:pStyle w:val="Heading2"/>
      </w:pPr>
      <w:r>
        <w:rPr>
          <w:rFonts w:ascii="맑은 고딕" w:hAnsi="맑은 고딕"/>
        </w:rPr>
        <w:t>정식화</w:t>
      </w:r>
    </w:p>
    <w:p>
      <w:pPr>
        <w:spacing w:after="80"/>
        <w:ind w:left="340"/>
      </w:pPr>
      <w:r>
        <w:rPr>
          <w:rFonts w:ascii="Menlo" w:hAnsi="Menlo"/>
          <w:sz w:val="17"/>
        </w:rPr>
        <w:t>Z1(x) = Σ_j Σ_t [ Σ_i Σ_{t'∈Δ^t_i} x^t'_ij · r_i ] / (C_j^t · I_j^t · ρ_j)   … (1)</w:t>
      </w:r>
    </w:p>
    <w:p>
      <w:pPr>
        <w:jc w:val="both"/>
      </w:pPr>
      <w:r>
        <w:rPr>
          <w:i w:val="0"/>
          <w:sz w:val="20"/>
        </w:rPr>
        <w:t>탄소 항 — 자원 점유를 그 슬롯의 탄소집약도로 나눈다. 깨끗하고 여유 있는 클러스터에 놓을수록 커진다.</w:t>
      </w:r>
    </w:p>
    <w:p>
      <w:pPr>
        <w:spacing w:after="80"/>
        <w:ind w:left="340"/>
      </w:pPr>
      <w:r>
        <w:rPr>
          <w:rFonts w:ascii="Menlo" w:hAnsi="Menlo"/>
          <w:sz w:val="17"/>
        </w:rPr>
        <w:t>Z2(x) = Σ_i Σ_j Σ_t x^t_ij / γ(i,t),   γ(i,t) = max(1, l_i + t − d_i)        … (2)</w:t>
      </w:r>
    </w:p>
    <w:p>
      <w:pPr>
        <w:jc w:val="both"/>
      </w:pPr>
      <w:r>
        <w:rPr>
          <w:i w:val="0"/>
          <w:sz w:val="20"/>
        </w:rPr>
        <w:t>마감 항 — 마감을 넘긴 정도로 나눈다. 늦을수록 작아지므로 마감은 하드 제약이 아니라 목적함수의 페널티다.</w:t>
      </w:r>
    </w:p>
    <w:p>
      <w:pPr>
        <w:spacing w:after="80"/>
        <w:ind w:left="340"/>
      </w:pPr>
      <w:r>
        <w:rPr>
          <w:rFonts w:ascii="Menlo" w:hAnsi="Menlo"/>
          <w:sz w:val="17"/>
        </w:rPr>
        <w:t>Z3(x) = Σ_i Σ_j Σ_t x^t_ij / λ(i,t),   λ(i,t) = t + l_i                       … (3)</w:t>
      </w:r>
    </w:p>
    <w:p>
      <w:pPr>
        <w:jc w:val="both"/>
      </w:pPr>
      <w:r>
        <w:rPr>
          <w:i w:val="0"/>
          <w:sz w:val="20"/>
        </w:rPr>
        <w:t>완료 시각 항 — 늦게 끝날수록 작아진다. 같은 조건이면 일찍 끝내는 쪽을 고른다.</w:t>
      </w:r>
    </w:p>
    <w:p>
      <w:pPr>
        <w:spacing w:after="80"/>
        <w:ind w:left="340"/>
      </w:pPr>
      <w:r>
        <w:rPr>
          <w:rFonts w:ascii="Menlo" w:hAnsi="Menlo"/>
          <w:sz w:val="17"/>
        </w:rPr>
        <w:t>max  Z(x) = ω̄1·Z1 + ω̄2·Z2 + ω̄3·Z3,   ω̄_k = ω_k / θ_k,  θ_k = 1/Z̄_k       … (4)</w:t>
      </w:r>
    </w:p>
    <w:p>
      <w:pPr>
        <w:spacing w:after="80"/>
        <w:ind w:left="340"/>
      </w:pPr>
      <w:r>
        <w:rPr>
          <w:rFonts w:ascii="Menlo" w:hAnsi="Menlo"/>
          <w:sz w:val="17"/>
        </w:rPr>
        <w:t>s.t.  Σ_i Σ_{t'∈Δ^t_i} x^t'_ij · r_i ≤ C_j^t   ∀j,t      … (5)  용량 — 하드</w:t>
      </w:r>
    </w:p>
    <w:p>
      <w:pPr>
        <w:spacing w:after="80"/>
        <w:ind w:left="340"/>
      </w:pPr>
      <w:r>
        <w:rPr>
          <w:rFonts w:ascii="Menlo" w:hAnsi="Menlo"/>
          <w:sz w:val="17"/>
        </w:rPr>
        <w:t xml:space="preserve">      Σ_j Σ_t x^t_ij ≤ 1   ∀i                            … (6)  최대 1회</w:t>
      </w:r>
    </w:p>
    <w:p>
      <w:pPr>
        <w:spacing w:after="80"/>
        <w:ind w:left="340"/>
      </w:pPr>
      <w:r>
        <w:rPr>
          <w:rFonts w:ascii="Menlo" w:hAnsi="Menlo"/>
          <w:sz w:val="17"/>
        </w:rPr>
        <w:t xml:space="preserve">      x^t_ij ≤ a_ij   ∀i,j,t                             … (7)  적합성</w:t>
      </w:r>
    </w:p>
    <w:p>
      <w:pPr>
        <w:spacing w:after="80"/>
        <w:ind w:left="340"/>
      </w:pPr>
      <w:r>
        <w:rPr>
          <w:rFonts w:ascii="Menlo" w:hAnsi="Menlo"/>
          <w:sz w:val="17"/>
        </w:rPr>
        <w:t xml:space="preserve">      x^t_ij ∈ {0,1}                                      … (8)</w:t>
      </w:r>
    </w:p>
    <w:p>
      <w:pPr>
        <w:jc w:val="both"/>
      </w:pPr>
      <w:r>
        <w:rPr>
          <w:i w:val="0"/>
          <w:sz w:val="20"/>
        </w:rPr>
        <w:t>x^t_ij 는 작업 i 를 클러스터 j 에서 슬롯 t 에 시작하는지, r_i 는 필요 자원량, l_i 는 실행 시간(슬롯 수), d_i 는 마감, C_j^t 와 I_j^t 는 슬롯 t 의 가용 자원과 탄소집약도, ρ_j 는 전력 효율이다. Δ^t_i = {t−l_i+1, …, t} 는 슬롯 t 를 점유하게 되는 시작 시각의 집합이다. 마감은 식 (2)의 페널티로만 들어가고, 용량은 식 (5)의 하드 제약이다 — 본 연구와 정확히 반대다.</w:t>
      </w:r>
    </w:p>
    <w:p>
      <w:pPr>
        <w:jc w:val="both"/>
      </w:pPr>
      <w:r>
        <w:rPr>
          <w:i w:val="0"/>
          <w:sz w:val="20"/>
        </w:rPr>
        <w:t>원문은 이 정식화를 완전한 정수 계획으로 풀지 않는다. Algorithm 2가 각 Z_k 를 따로 LP 완화로 풀어 정규화 상수 θ_k 를 얻고, 결합 목적함수를 한 번 더 LP 로 풀어 분수해 x̄ 를 구한 뒤, b_i = Σ x̄ 로 우선순위를 매겨 Algorithm 3의 그리디 배정으로 정수해를 만든다. 즉 LP 완화 + 그리디이며, 이는 원문의 설계이지 본 연구의 단순화가 아니다.</w:t>
      </w:r>
    </w:p>
    <w:p>
      <w:pPr>
        <w:pStyle w:val="Heading2"/>
      </w:pPr>
      <w:r>
        <w:rPr>
          <w:rFonts w:ascii="맑은 고딕" w:hAnsi="맑은 고딕"/>
        </w:rPr>
        <w:t>우리 데이터로 옮기며 내린 판단</w:t>
      </w:r>
    </w:p>
    <w:p>
      <w:pPr>
        <w:spacing w:before="120" w:after="40"/>
        <w:jc w:val="center"/>
      </w:pPr>
      <w:r>
        <w:rPr>
          <w:b/>
          <w:sz w:val="17"/>
        </w:rPr>
        <w:t>표 S4. Caspian 정식화를 본 연구 데이터에 대응시킨 내역</w:t>
      </w:r>
    </w:p>
    <w:tbl>
      <w:tblPr>
        <w:tblStyle w:val="TableGrid"/>
        <w:tblW w:type="auto" w:w="0"/>
        <w:tblLook w:firstColumn="1" w:firstRow="1" w:lastColumn="0" w:lastRow="0" w:noHBand="0" w:noVBand="1" w:val="04A0"/>
      </w:tblPr>
      <w:tblGrid>
        <w:gridCol w:w="3173"/>
        <w:gridCol w:w="3173"/>
        <w:gridCol w:w="3173"/>
      </w:tblGrid>
      <w:tr>
        <w:tc>
          <w:tcPr>
            <w:tcW w:type="dxa" w:w="3173"/>
          </w:tcPr>
          <w:p>
            <w:r/>
            <w:r>
              <w:rPr>
                <w:b/>
                <w:sz w:val="17"/>
              </w:rPr>
              <w:t>항목</w:t>
            </w:r>
          </w:p>
        </w:tc>
        <w:tc>
          <w:tcPr>
            <w:tcW w:type="dxa" w:w="3173"/>
          </w:tcPr>
          <w:p>
            <w:r/>
            <w:r>
              <w:rPr>
                <w:b/>
                <w:sz w:val="17"/>
              </w:rPr>
              <w:t>값</w:t>
            </w:r>
          </w:p>
        </w:tc>
        <w:tc>
          <w:tcPr>
            <w:tcW w:type="dxa" w:w="3173"/>
          </w:tcPr>
          <w:p>
            <w:r/>
            <w:r>
              <w:rPr>
                <w:b/>
                <w:sz w:val="17"/>
              </w:rPr>
              <w:t>근거</w:t>
            </w:r>
          </w:p>
        </w:tc>
      </w:tr>
      <w:tr>
        <w:tc>
          <w:tcPr>
            <w:tcW w:type="dxa" w:w="3173"/>
          </w:tcPr>
          <w:p>
            <w:r/>
            <w:r>
              <w:rPr>
                <w:b w:val="0"/>
                <w:sz w:val="17"/>
              </w:rPr>
              <w:t>N · M · T · δ</w:t>
            </w:r>
          </w:p>
        </w:tc>
        <w:tc>
          <w:tcPr>
            <w:tcW w:type="dxa" w:w="3173"/>
          </w:tcPr>
          <w:p>
            <w:r/>
            <w:r>
              <w:rPr>
                <w:b w:val="0"/>
                <w:sz w:val="17"/>
              </w:rPr>
              <w:t>146,000 · 8 · 24 · 1시간</w:t>
            </w:r>
          </w:p>
        </w:tc>
        <w:tc>
          <w:tcPr>
            <w:tcW w:type="dxa" w:w="3173"/>
          </w:tcPr>
          <w:p>
            <w:r/>
            <w:r>
              <w:rPr>
                <w:b w:val="0"/>
                <w:sz w:val="17"/>
              </w:rPr>
              <w:t>본 연구 예측 지평·슬롯과 통일</w:t>
            </w:r>
          </w:p>
        </w:tc>
      </w:tr>
      <w:tr>
        <w:tc>
          <w:tcPr>
            <w:tcW w:type="dxa" w:w="3173"/>
          </w:tcPr>
          <w:p>
            <w:r/>
            <w:r>
              <w:rPr>
                <w:b w:val="0"/>
                <w:sz w:val="17"/>
              </w:rPr>
              <w:t>a_ij</w:t>
            </w:r>
          </w:p>
        </w:tc>
        <w:tc>
          <w:tcPr>
            <w:tcW w:type="dxa" w:w="3173"/>
          </w:tcPr>
          <w:p>
            <w:r/>
            <w:r>
              <w:rPr>
                <w:b w:val="0"/>
                <w:sz w:val="17"/>
              </w:rPr>
              <w:t>1 (전 리전 허용)</w:t>
            </w:r>
          </w:p>
        </w:tc>
        <w:tc>
          <w:tcPr>
            <w:tcW w:type="dxa" w:w="3173"/>
          </w:tcPr>
          <w:p>
            <w:r/>
            <w:r>
              <w:rPr>
                <w:b w:val="0"/>
                <w:sz w:val="17"/>
              </w:rPr>
              <w:t>본 연구 기본 설정과 통일</w:t>
            </w:r>
          </w:p>
        </w:tc>
      </w:tr>
      <w:tr>
        <w:tc>
          <w:tcPr>
            <w:tcW w:type="dxa" w:w="3173"/>
          </w:tcPr>
          <w:p>
            <w:r/>
            <w:r>
              <w:rPr>
                <w:b w:val="0"/>
                <w:sz w:val="17"/>
              </w:rPr>
              <w:t>r_i · C_j^t</w:t>
            </w:r>
          </w:p>
        </w:tc>
        <w:tc>
          <w:tcPr>
            <w:tcW w:type="dxa" w:w="3173"/>
          </w:tcPr>
          <w:p>
            <w:r/>
            <w:r>
              <w:rPr>
                <w:b w:val="0"/>
                <w:sz w:val="17"/>
              </w:rPr>
              <w:t>1 · K_r = 12</w:t>
            </w:r>
          </w:p>
        </w:tc>
        <w:tc>
          <w:tcPr>
            <w:tcW w:type="dxa" w:w="3173"/>
          </w:tcPr>
          <w:p>
            <w:r/>
            <w:r>
              <w:rPr>
                <w:b w:val="0"/>
                <w:sz w:val="17"/>
              </w:rPr>
              <w:t>본 연구 용량이 동시 실행 수라 식 (5)가 식 (3)과 같아짐</w:t>
            </w:r>
          </w:p>
        </w:tc>
      </w:tr>
      <w:tr>
        <w:tc>
          <w:tcPr>
            <w:tcW w:type="dxa" w:w="3173"/>
          </w:tcPr>
          <w:p>
            <w:r/>
            <w:r>
              <w:rPr>
                <w:b w:val="0"/>
                <w:sz w:val="17"/>
              </w:rPr>
              <w:t>ρ_j</w:t>
            </w:r>
          </w:p>
        </w:tc>
        <w:tc>
          <w:tcPr>
            <w:tcW w:type="dxa" w:w="3173"/>
          </w:tcPr>
          <w:p>
            <w:r/>
            <w:r>
              <w:rPr>
                <w:b w:val="0"/>
                <w:sz w:val="17"/>
              </w:rPr>
              <w:t>1</w:t>
            </w:r>
          </w:p>
        </w:tc>
        <w:tc>
          <w:tcPr>
            <w:tcW w:type="dxa" w:w="3173"/>
          </w:tcPr>
          <w:p>
            <w:r/>
            <w:r>
              <w:rPr>
                <w:b w:val="0"/>
                <w:sz w:val="17"/>
              </w:rPr>
              <w:t>리전별 전력 효율 자료 없음. 원문도 실측이 아닌 가정</w:t>
            </w:r>
          </w:p>
        </w:tc>
      </w:tr>
      <w:tr>
        <w:tc>
          <w:tcPr>
            <w:tcW w:type="dxa" w:w="3173"/>
          </w:tcPr>
          <w:p>
            <w:r/>
            <w:r>
              <w:rPr>
                <w:b w:val="0"/>
                <w:sz w:val="17"/>
              </w:rPr>
              <w:t>I_j^t</w:t>
            </w:r>
          </w:p>
        </w:tc>
        <w:tc>
          <w:tcPr>
            <w:tcW w:type="dxa" w:w="3173"/>
          </w:tcPr>
          <w:p>
            <w:r/>
            <w:r>
              <w:rPr>
                <w:b w:val="0"/>
                <w:sz w:val="17"/>
              </w:rPr>
              <w:t>LSTM 예측</w:t>
            </w:r>
          </w:p>
        </w:tc>
        <w:tc>
          <w:tcPr>
            <w:tcW w:type="dxa" w:w="3173"/>
          </w:tcPr>
          <w:p>
            <w:r/>
            <w:r>
              <w:rPr>
                <w:b w:val="0"/>
                <w:sz w:val="17"/>
              </w:rPr>
              <w:t>예측으로 결정하고 실측으로 채점하는 원칙과 통일</w:t>
            </w:r>
          </w:p>
        </w:tc>
      </w:tr>
      <w:tr>
        <w:tc>
          <w:tcPr>
            <w:tcW w:type="dxa" w:w="3173"/>
          </w:tcPr>
          <w:p>
            <w:r/>
            <w:r>
              <w:rPr>
                <w:b w:val="0"/>
                <w:sz w:val="17"/>
              </w:rPr>
              <w:t>ω</w:t>
            </w:r>
          </w:p>
        </w:tc>
        <w:tc>
          <w:tcPr>
            <w:tcW w:type="dxa" w:w="3173"/>
          </w:tcPr>
          <w:p>
            <w:r/>
            <w:r>
              <w:rPr>
                <w:b w:val="0"/>
                <w:sz w:val="17"/>
              </w:rPr>
              <w:t>원문 5절이 시험한 값</w:t>
            </w:r>
          </w:p>
        </w:tc>
        <w:tc>
          <w:tcPr>
            <w:tcW w:type="dxa" w:w="3173"/>
          </w:tcPr>
          <w:p>
            <w:r/>
            <w:r>
              <w:rPr>
                <w:b w:val="0"/>
                <w:sz w:val="17"/>
              </w:rPr>
              <w:t>임의로 고르면 재현 충실도를 공격받는다</w:t>
            </w:r>
          </w:p>
        </w:tc>
      </w:tr>
    </w:tbl>
    <w:p/>
    <w:p>
      <w:pPr>
        <w:jc w:val="both"/>
      </w:pPr>
      <w:r>
        <w:rPr>
          <w:i w:val="0"/>
          <w:sz w:val="20"/>
        </w:rPr>
        <w:t>경계 처리 규약은 한 번 실패하고 다시 설계했다. 처음에는 제출 후 48시간이 지나도 미배정이면 강제 배치하도록 두었는데, 마감 여유가 수 분뿐인 작업까지 48시간을 기다리게 되어 대기열이 계속 자랐다. 자기 마감을 한 시간 넘기면 강제 배치하는 것으로 바꾼 뒤 대기열이 안정되었다.</w:t>
      </w:r>
    </w:p>
    <w:p>
      <w:pPr>
        <w:pStyle w:val="Heading2"/>
      </w:pPr>
      <w:r>
        <w:rPr>
          <w:rFonts w:ascii="맑은 고딕" w:hAnsi="맑은 고딕"/>
        </w:rPr>
        <w:t>슬롯 해상도가 만드는 한계</w:t>
      </w:r>
    </w:p>
    <w:p>
      <w:pPr>
        <w:jc w:val="both"/>
      </w:pPr>
      <w:r>
        <w:rPr>
          <w:i w:val="0"/>
          <w:sz w:val="20"/>
        </w:rPr>
        <w:t>Caspian 의 정식화는 슬롯보다 짧은 작업을 표현하지 못한다. l_i 가 슬롯 수이므로 6초짜리 작업도 한 슬롯을 통째로 차지한다. 본 연구의 워크로드는 이 한계에 정면으로 걸린다.</w:t>
      </w:r>
    </w:p>
    <w:p>
      <w:pPr>
        <w:spacing w:before="120" w:after="40"/>
        <w:jc w:val="center"/>
      </w:pPr>
      <w:r>
        <w:rPr>
          <w:b/>
          <w:sz w:val="17"/>
        </w:rPr>
        <w:t>표 S5. 슬롯 올림이 만드는 점유 부풀림 — k=3 이하가 전체의 60.1%다</w:t>
      </w:r>
    </w:p>
    <w:tbl>
      <w:tblPr>
        <w:tblStyle w:val="TableGrid"/>
        <w:tblW w:type="auto" w:w="0"/>
        <w:tblLook w:firstColumn="1" w:firstRow="1" w:lastColumn="0" w:lastRow="0" w:noHBand="0" w:noVBand="1" w:val="04A0"/>
      </w:tblPr>
      <w:tblGrid>
        <w:gridCol w:w="2379"/>
        <w:gridCol w:w="2379"/>
        <w:gridCol w:w="2379"/>
        <w:gridCol w:w="2379"/>
      </w:tblGrid>
      <w:tr>
        <w:tc>
          <w:tcPr>
            <w:tcW w:type="dxa" w:w="2379"/>
          </w:tcPr>
          <w:p>
            <w:r/>
            <w:r>
              <w:rPr>
                <w:b/>
                <w:sz w:val="17"/>
              </w:rPr>
              <w:t>지연 등급</w:t>
            </w:r>
          </w:p>
        </w:tc>
        <w:tc>
          <w:tcPr>
            <w:tcW w:type="dxa" w:w="2379"/>
          </w:tcPr>
          <w:p>
            <w:pPr>
              <w:jc w:val="right"/>
            </w:pPr>
            <w:r/>
            <w:r>
              <w:rPr>
                <w:b/>
                <w:sz w:val="17"/>
              </w:rPr>
              <w:t>건수</w:t>
            </w:r>
          </w:p>
        </w:tc>
        <w:tc>
          <w:tcPr>
            <w:tcW w:type="dxa" w:w="2379"/>
          </w:tcPr>
          <w:p>
            <w:r/>
            <w:r>
              <w:rPr>
                <w:b/>
                <w:sz w:val="17"/>
              </w:rPr>
              <w:t>평균 실행 시간</w:t>
            </w:r>
          </w:p>
        </w:tc>
        <w:tc>
          <w:tcPr>
            <w:tcW w:type="dxa" w:w="2379"/>
          </w:tcPr>
          <w:p>
            <w:pPr>
              <w:jc w:val="right"/>
            </w:pPr>
            <w:r/>
            <w:r>
              <w:rPr>
                <w:b/>
                <w:sz w:val="17"/>
              </w:rPr>
              <w:t>올림 배율</w:t>
            </w:r>
          </w:p>
        </w:tc>
      </w:tr>
      <w:tr>
        <w:tc>
          <w:tcPr>
            <w:tcW w:type="dxa" w:w="2379"/>
          </w:tcPr>
          <w:p>
            <w:r/>
            <w:r>
              <w:rPr>
                <w:b w:val="0"/>
                <w:sz w:val="17"/>
              </w:rPr>
              <w:t>k=1</w:t>
            </w:r>
          </w:p>
        </w:tc>
        <w:tc>
          <w:tcPr>
            <w:tcW w:type="dxa" w:w="2379"/>
          </w:tcPr>
          <w:p>
            <w:pPr>
              <w:jc w:val="right"/>
            </w:pPr>
            <w:r/>
            <w:r>
              <w:rPr>
                <w:b w:val="0"/>
                <w:sz w:val="17"/>
              </w:rPr>
              <w:t>43,830</w:t>
            </w:r>
          </w:p>
        </w:tc>
        <w:tc>
          <w:tcPr>
            <w:tcW w:type="dxa" w:w="2379"/>
          </w:tcPr>
          <w:p>
            <w:r/>
            <w:r>
              <w:rPr>
                <w:b w:val="0"/>
                <w:sz w:val="17"/>
              </w:rPr>
              <w:t>2.03 시간</w:t>
            </w:r>
          </w:p>
        </w:tc>
        <w:tc>
          <w:tcPr>
            <w:tcW w:type="dxa" w:w="2379"/>
          </w:tcPr>
          <w:p>
            <w:pPr>
              <w:jc w:val="right"/>
            </w:pPr>
            <w:r/>
            <w:r>
              <w:rPr>
                <w:b w:val="0"/>
                <w:sz w:val="17"/>
              </w:rPr>
              <w:t>1.23배</w:t>
            </w:r>
          </w:p>
        </w:tc>
      </w:tr>
      <w:tr>
        <w:tc>
          <w:tcPr>
            <w:tcW w:type="dxa" w:w="2379"/>
          </w:tcPr>
          <w:p>
            <w:r/>
            <w:r>
              <w:rPr>
                <w:b w:val="0"/>
                <w:sz w:val="17"/>
              </w:rPr>
              <w:t>k=2</w:t>
            </w:r>
          </w:p>
        </w:tc>
        <w:tc>
          <w:tcPr>
            <w:tcW w:type="dxa" w:w="2379"/>
          </w:tcPr>
          <w:p>
            <w:pPr>
              <w:jc w:val="right"/>
            </w:pPr>
            <w:r/>
            <w:r>
              <w:rPr>
                <w:b w:val="0"/>
                <w:sz w:val="17"/>
              </w:rPr>
              <w:t>14,458</w:t>
            </w:r>
          </w:p>
        </w:tc>
        <w:tc>
          <w:tcPr>
            <w:tcW w:type="dxa" w:w="2379"/>
          </w:tcPr>
          <w:p>
            <w:r/>
            <w:r>
              <w:rPr>
                <w:b w:val="0"/>
                <w:sz w:val="17"/>
              </w:rPr>
              <w:t>0.72 시간</w:t>
            </w:r>
          </w:p>
        </w:tc>
        <w:tc>
          <w:tcPr>
            <w:tcW w:type="dxa" w:w="2379"/>
          </w:tcPr>
          <w:p>
            <w:pPr>
              <w:jc w:val="right"/>
            </w:pPr>
            <w:r/>
            <w:r>
              <w:rPr>
                <w:b w:val="0"/>
                <w:sz w:val="17"/>
              </w:rPr>
              <w:t>1.81배</w:t>
            </w:r>
          </w:p>
        </w:tc>
      </w:tr>
      <w:tr>
        <w:tc>
          <w:tcPr>
            <w:tcW w:type="dxa" w:w="2379"/>
          </w:tcPr>
          <w:p>
            <w:r/>
            <w:r>
              <w:rPr>
                <w:b w:val="0"/>
                <w:sz w:val="17"/>
              </w:rPr>
              <w:t>k=3</w:t>
            </w:r>
          </w:p>
        </w:tc>
        <w:tc>
          <w:tcPr>
            <w:tcW w:type="dxa" w:w="2379"/>
          </w:tcPr>
          <w:p>
            <w:pPr>
              <w:jc w:val="right"/>
            </w:pPr>
            <w:r/>
            <w:r>
              <w:rPr>
                <w:b w:val="0"/>
                <w:sz w:val="17"/>
              </w:rPr>
              <w:t>14,716</w:t>
            </w:r>
          </w:p>
        </w:tc>
        <w:tc>
          <w:tcPr>
            <w:tcW w:type="dxa" w:w="2379"/>
          </w:tcPr>
          <w:p>
            <w:r/>
            <w:r>
              <w:rPr>
                <w:b w:val="0"/>
                <w:sz w:val="17"/>
              </w:rPr>
              <w:t>4.1 분</w:t>
            </w:r>
          </w:p>
        </w:tc>
        <w:tc>
          <w:tcPr>
            <w:tcW w:type="dxa" w:w="2379"/>
          </w:tcPr>
          <w:p>
            <w:pPr>
              <w:jc w:val="right"/>
            </w:pPr>
            <w:r/>
            <w:r>
              <w:rPr>
                <w:b w:val="0"/>
                <w:sz w:val="17"/>
              </w:rPr>
              <w:t>14.68배</w:t>
            </w:r>
          </w:p>
        </w:tc>
      </w:tr>
      <w:tr>
        <w:tc>
          <w:tcPr>
            <w:tcW w:type="dxa" w:w="2379"/>
          </w:tcPr>
          <w:p>
            <w:r/>
            <w:r>
              <w:rPr>
                <w:b w:val="0"/>
                <w:sz w:val="17"/>
              </w:rPr>
              <w:t>k=4</w:t>
            </w:r>
          </w:p>
        </w:tc>
        <w:tc>
          <w:tcPr>
            <w:tcW w:type="dxa" w:w="2379"/>
          </w:tcPr>
          <w:p>
            <w:pPr>
              <w:jc w:val="right"/>
            </w:pPr>
            <w:r/>
            <w:r>
              <w:rPr>
                <w:b w:val="0"/>
                <w:sz w:val="17"/>
              </w:rPr>
              <w:t>29,244</w:t>
            </w:r>
          </w:p>
        </w:tc>
        <w:tc>
          <w:tcPr>
            <w:tcW w:type="dxa" w:w="2379"/>
          </w:tcPr>
          <w:p>
            <w:r/>
            <w:r>
              <w:rPr>
                <w:b w:val="0"/>
                <w:sz w:val="17"/>
              </w:rPr>
              <w:t>38 초</w:t>
            </w:r>
          </w:p>
        </w:tc>
        <w:tc>
          <w:tcPr>
            <w:tcW w:type="dxa" w:w="2379"/>
          </w:tcPr>
          <w:p>
            <w:pPr>
              <w:jc w:val="right"/>
            </w:pPr>
            <w:r/>
            <w:r>
              <w:rPr>
                <w:b w:val="0"/>
                <w:sz w:val="17"/>
              </w:rPr>
              <w:t>93.80배</w:t>
            </w:r>
          </w:p>
        </w:tc>
      </w:tr>
      <w:tr>
        <w:tc>
          <w:tcPr>
            <w:tcW w:type="dxa" w:w="2379"/>
          </w:tcPr>
          <w:p>
            <w:r/>
            <w:r>
              <w:rPr>
                <w:b w:val="0"/>
                <w:sz w:val="17"/>
              </w:rPr>
              <w:t>k=5</w:t>
            </w:r>
          </w:p>
        </w:tc>
        <w:tc>
          <w:tcPr>
            <w:tcW w:type="dxa" w:w="2379"/>
          </w:tcPr>
          <w:p>
            <w:pPr>
              <w:jc w:val="right"/>
            </w:pPr>
            <w:r/>
            <w:r>
              <w:rPr>
                <w:b w:val="0"/>
                <w:sz w:val="17"/>
              </w:rPr>
              <w:t>43,752</w:t>
            </w:r>
          </w:p>
        </w:tc>
        <w:tc>
          <w:tcPr>
            <w:tcW w:type="dxa" w:w="2379"/>
          </w:tcPr>
          <w:p>
            <w:r/>
            <w:r>
              <w:rPr>
                <w:b w:val="0"/>
                <w:sz w:val="17"/>
              </w:rPr>
              <w:t>6 초</w:t>
            </w:r>
          </w:p>
        </w:tc>
        <w:tc>
          <w:tcPr>
            <w:tcW w:type="dxa" w:w="2379"/>
          </w:tcPr>
          <w:p>
            <w:pPr>
              <w:jc w:val="right"/>
            </w:pPr>
            <w:r/>
            <w:r>
              <w:rPr>
                <w:b w:val="0"/>
                <w:sz w:val="17"/>
              </w:rPr>
              <w:t>598.58배</w:t>
            </w:r>
          </w:p>
        </w:tc>
      </w:tr>
    </w:tbl>
    <w:p/>
    <w:p>
      <w:pPr>
        <w:jc w:val="both"/>
      </w:pPr>
      <w:r>
        <w:rPr>
          <w:i w:val="0"/>
          <w:sz w:val="20"/>
        </w:rPr>
        <w:t>이 부풀림이 결과를 얼마나 좌우하는지 보려고, 자원 요구량을 r_i = min(실행 시간, 1) 로 완화한 대조 실행을 같은 조건에서 돌렸다. 원문의 r_i 는 개수가 아니라 자원량이므로 이 읽기가 오히려 원문에 가깝다.</w:t>
      </w:r>
    </w:p>
    <w:p>
      <w:pPr>
        <w:spacing w:before="120" w:after="40"/>
        <w:jc w:val="center"/>
      </w:pPr>
      <w:r>
        <w:rPr>
          <w:b/>
          <w:sz w:val="17"/>
        </w:rPr>
        <w:t>표 S6. 올림과 분수 점유의 비교 — 60일 부분집합, 24,000건, ω1=1</w:t>
      </w:r>
    </w:p>
    <w:tbl>
      <w:tblPr>
        <w:tblStyle w:val="TableGrid"/>
        <w:tblW w:type="auto" w:w="0"/>
        <w:tblLook w:firstColumn="1" w:firstRow="1" w:lastColumn="0" w:lastRow="0" w:noHBand="0" w:noVBand="1" w:val="04A0"/>
      </w:tblPr>
      <w:tblGrid>
        <w:gridCol w:w="2379"/>
        <w:gridCol w:w="2379"/>
        <w:gridCol w:w="2379"/>
        <w:gridCol w:w="2379"/>
      </w:tblGrid>
      <w:tr>
        <w:tc>
          <w:tcPr>
            <w:tcW w:type="dxa" w:w="2379"/>
          </w:tcPr>
          <w:p>
            <w:r/>
            <w:r>
              <w:rPr>
                <w:b/>
                <w:sz w:val="17"/>
              </w:rPr>
              <w:t>지표</w:t>
            </w:r>
          </w:p>
        </w:tc>
        <w:tc>
          <w:tcPr>
            <w:tcW w:type="dxa" w:w="2379"/>
          </w:tcPr>
          <w:p>
            <w:pPr>
              <w:jc w:val="right"/>
            </w:pPr>
            <w:r/>
            <w:r>
              <w:rPr>
                <w:b/>
                <w:sz w:val="17"/>
              </w:rPr>
              <w:t>올림 (r_i=1)</w:t>
            </w:r>
          </w:p>
        </w:tc>
        <w:tc>
          <w:tcPr>
            <w:tcW w:type="dxa" w:w="2379"/>
          </w:tcPr>
          <w:p>
            <w:pPr>
              <w:jc w:val="right"/>
            </w:pPr>
            <w:r/>
            <w:r>
              <w:rPr>
                <w:b/>
                <w:sz w:val="17"/>
              </w:rPr>
              <w:t>분수 (r_i=min(d,1))</w:t>
            </w:r>
          </w:p>
        </w:tc>
        <w:tc>
          <w:tcPr>
            <w:tcW w:type="dxa" w:w="2379"/>
          </w:tcPr>
          <w:p>
            <w:r/>
            <w:r>
              <w:rPr>
                <w:b/>
                <w:sz w:val="17"/>
              </w:rPr>
              <w:t>변화</w:t>
            </w:r>
          </w:p>
        </w:tc>
      </w:tr>
      <w:tr>
        <w:tc>
          <w:tcPr>
            <w:tcW w:type="dxa" w:w="2379"/>
          </w:tcPr>
          <w:p>
            <w:r/>
            <w:r>
              <w:rPr>
                <w:b w:val="0"/>
                <w:sz w:val="17"/>
              </w:rPr>
              <w:t>총 배출량</w:t>
            </w:r>
          </w:p>
        </w:tc>
        <w:tc>
          <w:tcPr>
            <w:tcW w:type="dxa" w:w="2379"/>
          </w:tcPr>
          <w:p>
            <w:pPr>
              <w:jc w:val="right"/>
            </w:pPr>
            <w:r/>
            <w:r>
              <w:rPr>
                <w:b w:val="0"/>
                <w:sz w:val="17"/>
              </w:rPr>
              <w:t>4,357.0 kg</w:t>
            </w:r>
          </w:p>
        </w:tc>
        <w:tc>
          <w:tcPr>
            <w:tcW w:type="dxa" w:w="2379"/>
          </w:tcPr>
          <w:p>
            <w:pPr>
              <w:jc w:val="right"/>
            </w:pPr>
            <w:r/>
            <w:r>
              <w:rPr>
                <w:b w:val="0"/>
                <w:sz w:val="17"/>
              </w:rPr>
              <w:t>3,588.0 kg</w:t>
            </w:r>
          </w:p>
        </w:tc>
        <w:tc>
          <w:tcPr>
            <w:tcW w:type="dxa" w:w="2379"/>
          </w:tcPr>
          <w:p>
            <w:r/>
            <w:r>
              <w:rPr>
                <w:b w:val="0"/>
                <w:sz w:val="17"/>
              </w:rPr>
              <w:t>−17.6%</w:t>
            </w:r>
          </w:p>
        </w:tc>
      </w:tr>
      <w:tr>
        <w:tc>
          <w:tcPr>
            <w:tcW w:type="dxa" w:w="2379"/>
          </w:tcPr>
          <w:p>
            <w:r/>
            <w:r>
              <w:rPr>
                <w:b w:val="0"/>
                <w:sz w:val="17"/>
              </w:rPr>
              <w:t>마감 위반</w:t>
            </w:r>
          </w:p>
        </w:tc>
        <w:tc>
          <w:tcPr>
            <w:tcW w:type="dxa" w:w="2379"/>
          </w:tcPr>
          <w:p>
            <w:pPr>
              <w:jc w:val="right"/>
            </w:pPr>
            <w:r/>
            <w:r>
              <w:rPr>
                <w:b w:val="0"/>
                <w:sz w:val="17"/>
              </w:rPr>
              <w:t>4,186</w:t>
            </w:r>
          </w:p>
        </w:tc>
        <w:tc>
          <w:tcPr>
            <w:tcW w:type="dxa" w:w="2379"/>
          </w:tcPr>
          <w:p>
            <w:pPr>
              <w:jc w:val="right"/>
            </w:pPr>
            <w:r/>
            <w:r>
              <w:rPr>
                <w:b w:val="0"/>
                <w:sz w:val="17"/>
              </w:rPr>
              <w:t>2,552</w:t>
            </w:r>
          </w:p>
        </w:tc>
        <w:tc>
          <w:tcPr>
            <w:tcW w:type="dxa" w:w="2379"/>
          </w:tcPr>
          <w:p>
            <w:r/>
            <w:r>
              <w:rPr>
                <w:b w:val="0"/>
                <w:sz w:val="17"/>
              </w:rPr>
              <w:t>−39.0%</w:t>
            </w:r>
          </w:p>
        </w:tc>
      </w:tr>
      <w:tr>
        <w:tc>
          <w:tcPr>
            <w:tcW w:type="dxa" w:w="2379"/>
          </w:tcPr>
          <w:p>
            <w:r/>
            <w:r>
              <w:rPr>
                <w:b w:val="0"/>
                <w:sz w:val="17"/>
              </w:rPr>
              <w:t>용량 위반</w:t>
            </w:r>
          </w:p>
        </w:tc>
        <w:tc>
          <w:tcPr>
            <w:tcW w:type="dxa" w:w="2379"/>
          </w:tcPr>
          <w:p>
            <w:pPr>
              <w:jc w:val="right"/>
            </w:pPr>
            <w:r/>
            <w:r>
              <w:rPr>
                <w:b w:val="0"/>
                <w:sz w:val="17"/>
              </w:rPr>
              <w:t>1,623</w:t>
            </w:r>
          </w:p>
        </w:tc>
        <w:tc>
          <w:tcPr>
            <w:tcW w:type="dxa" w:w="2379"/>
          </w:tcPr>
          <w:p>
            <w:pPr>
              <w:jc w:val="right"/>
            </w:pPr>
            <w:r/>
            <w:r>
              <w:rPr>
                <w:b w:val="0"/>
                <w:sz w:val="17"/>
              </w:rPr>
              <w:t>615</w:t>
            </w:r>
          </w:p>
        </w:tc>
        <w:tc>
          <w:tcPr>
            <w:tcW w:type="dxa" w:w="2379"/>
          </w:tcPr>
          <w:p>
            <w:r/>
            <w:r>
              <w:rPr>
                <w:b w:val="0"/>
                <w:sz w:val="17"/>
              </w:rPr>
              <w:t>−62.1%</w:t>
            </w:r>
          </w:p>
        </w:tc>
      </w:tr>
    </w:tbl>
    <w:p/>
    <w:p>
      <w:pPr>
        <w:jc w:val="both"/>
      </w:pPr>
      <w:r>
        <w:rPr>
          <w:i w:val="0"/>
          <w:sz w:val="20"/>
        </w:rPr>
        <w:t>다만 무엇이 완화되고 무엇이 남는지는 구분해야 한다. 상한에 묶인 (리전, 시각)의 수는 두 모드가 거의 같다(1,134 대 1,136). l_i, 곧 몇 슬롯을 점유하는가는 두 모드 모두 올림값을 쓰기 때문이다. 분수 점유가 바꾸는 것은 묶이는 횟수가 아니라 묶였을 때 몇 건이 거절되는가다. 슬롯 개수의 올림 자체는 이 정식화의 구조적 한계이며 r_i 를 분수로 두어도 사라지지 않는다.</w:t>
      </w:r>
    </w:p>
    <w:p>
      <w:pPr>
        <w:jc w:val="both"/>
      </w:pPr>
      <w:r>
        <w:rPr>
          <w:i w:val="0"/>
          <w:sz w:val="20"/>
        </w:rPr>
        <w:t>그 묶임이 실제 점유 때문인지도 따로 쟀다. 올림 모델에서 상한에 도달한 1,134건 가운데 실제 실행 구간으로 다시 세면 상한 미만이었던 것이 1,068건, 곧 94.2%다. 슬롯 올림이 용량을 그만큼 헛되이 압박하고 있었다는 뜻이다.</w:t>
      </w:r>
    </w:p>
    <w:p>
      <w:pPr>
        <w:pStyle w:val="Heading2"/>
      </w:pPr>
      <w:r>
        <w:rPr>
          <w:rFonts w:ascii="맑은 고딕" w:hAnsi="맑은 고딕"/>
        </w:rPr>
        <w:t>인과율 버그와 그 영향</w:t>
      </w:r>
    </w:p>
    <w:p>
      <w:pPr>
        <w:jc w:val="both"/>
      </w:pPr>
      <w:r>
        <w:rPr>
          <w:i w:val="0"/>
          <w:sz w:val="20"/>
        </w:rPr>
        <w:t>재현 과정에서 본 연구가 낸 버그를 기록해 둔다. 최초 구현은 배치 시각을 정수 시로 기록했는데, 그 값이 제출 시각을 내림한 것이어서 실제 제출보다 최대 한 시간 이를 수 있었다. 이를 그대로 시작 시각으로 쓰자 채점기가 “제출 전에 이미 시작해 일찍 끝난 것”으로 계산해 마감 위반이 인위적으로 사라졌다. 60일 표본에서 배정의 79.2%가 제출 시각보다 앞서 시작했고 최대 격차는 정확히 0.9999시간이었다 — 내림 오차 그대로다.</w:t>
      </w:r>
    </w:p>
    <w:p>
      <w:pPr>
        <w:jc w:val="both"/>
      </w:pPr>
      <w:r>
        <w:rPr>
          <w:i w:val="0"/>
          <w:sz w:val="20"/>
        </w:rPr>
        <w:t>발견은 결과의 이상에서 왔다. 첫 전체 실행이 마감 위반 0건에 용량 위반 89,319건을 냈는데, 이는 용량이 하드이고 마감이 소프트인 원문 설계와 정반대다. 배치 시각을 max(정수 시, 제출 시각)으로 고치자 같은 조건에서 용량 위반이 16,101건에서 1,623건으로 줄었다.</w:t>
      </w:r>
    </w:p>
    <w:p>
      <w:pPr>
        <w:jc w:val="both"/>
      </w:pPr>
      <w:r>
        <w:rPr>
          <w:i w:val="0"/>
          <w:sz w:val="20"/>
        </w:rPr>
        <w:t>이 버그는 방법론적으로도 남길 값이 있다. 버그가 있을 때 앞 절의 “헛된 묶임” 비율은 0.0%로 측정되었다 — 같은 시각으로 당겨진 작업들이 실측으로도 진짜 동시처럼 보였기 때문이다. 그때 본 연구는 측정 방법이 잘못되었다고 판단하고 이 지표를 버리려 했다. 버그를 고치자 같은 지표가 94.2%를 냈다. 측정값이 0이라는 것이 현상이 없다는 뜻은 아니며, 다른 결함이 신호를 가릴 수 있다. 무효 처리한 결과는 지우지 않고 보존하였다.</w:t>
      </w:r>
    </w:p>
    <w:p>
      <w:pPr>
        <w:pStyle w:val="Heading2"/>
      </w:pPr>
      <w:r>
        <w:rPr>
          <w:rFonts w:ascii="맑은 고딕" w:hAnsi="맑은 고딕"/>
        </w:rPr>
        <w:t>본편 표 5에 실은 값</w:t>
      </w:r>
    </w:p>
    <w:p>
      <w:pPr>
        <w:jc w:val="both"/>
      </w:pPr>
      <w:r>
        <w:rPr>
          <w:i w:val="0"/>
          <w:sz w:val="20"/>
        </w:rPr>
        <w:t>146,000건 전체를 두 모드로 돌렸다. 본편 표 5에는 분수 배정 쪽을 싣는다 — 원문의 정식화에 더 가깝고 네 지표 모두 올림보다 낫다.</w:t>
      </w:r>
    </w:p>
    <w:tbl>
      <w:tblPr>
        <w:tblStyle w:val="TableGrid"/>
        <w:tblW w:type="auto" w:w="0"/>
        <w:tblLook w:firstColumn="1" w:firstRow="1" w:lastColumn="0" w:lastRow="0" w:noHBand="0" w:noVBand="1" w:val="04A0"/>
      </w:tblPr>
      <w:tblGrid>
        <w:gridCol w:w="3173"/>
        <w:gridCol w:w="3173"/>
        <w:gridCol w:w="3173"/>
      </w:tblGrid>
      <w:tr>
        <w:tc>
          <w:tcPr>
            <w:tcW w:type="dxa" w:w="3173"/>
          </w:tcPr>
          <w:p>
            <w:r/>
            <w:r>
              <w:rPr>
                <w:b/>
                <w:sz w:val="17"/>
              </w:rPr>
              <w:t>지표</w:t>
            </w:r>
          </w:p>
        </w:tc>
        <w:tc>
          <w:tcPr>
            <w:tcW w:type="dxa" w:w="3173"/>
          </w:tcPr>
          <w:p>
            <w:pPr>
              <w:jc w:val="right"/>
            </w:pPr>
            <w:r/>
            <w:r>
              <w:rPr>
                <w:b/>
                <w:sz w:val="17"/>
              </w:rPr>
              <w:t>올림 (A.5 대조)</w:t>
            </w:r>
          </w:p>
        </w:tc>
        <w:tc>
          <w:tcPr>
            <w:tcW w:type="dxa" w:w="3173"/>
          </w:tcPr>
          <w:p>
            <w:pPr>
              <w:jc w:val="right"/>
            </w:pPr>
            <w:r/>
            <w:r>
              <w:rPr>
                <w:b/>
                <w:sz w:val="17"/>
              </w:rPr>
              <w:t>분수 (본편 표 5)</w:t>
            </w:r>
          </w:p>
        </w:tc>
      </w:tr>
      <w:tr>
        <w:tc>
          <w:tcPr>
            <w:tcW w:type="dxa" w:w="3173"/>
          </w:tcPr>
          <w:p>
            <w:r/>
            <w:r>
              <w:rPr>
                <w:b w:val="0"/>
                <w:sz w:val="17"/>
              </w:rPr>
              <w:t>총배출</w:t>
            </w:r>
          </w:p>
        </w:tc>
        <w:tc>
          <w:tcPr>
            <w:tcW w:type="dxa" w:w="3173"/>
          </w:tcPr>
          <w:p>
            <w:pPr>
              <w:jc w:val="right"/>
            </w:pPr>
            <w:r/>
            <w:r>
              <w:rPr>
                <w:b w:val="0"/>
                <w:sz w:val="17"/>
              </w:rPr>
              <w:t>25,145.9 kg</w:t>
            </w:r>
          </w:p>
        </w:tc>
        <w:tc>
          <w:tcPr>
            <w:tcW w:type="dxa" w:w="3173"/>
          </w:tcPr>
          <w:p>
            <w:pPr>
              <w:jc w:val="right"/>
            </w:pPr>
            <w:r/>
            <w:r>
              <w:rPr>
                <w:b w:val="0"/>
                <w:sz w:val="17"/>
              </w:rPr>
              <w:t>20,308.4 kg</w:t>
            </w:r>
          </w:p>
        </w:tc>
      </w:tr>
      <w:tr>
        <w:tc>
          <w:tcPr>
            <w:tcW w:type="dxa" w:w="3173"/>
          </w:tcPr>
          <w:p>
            <w:r/>
            <w:r>
              <w:rPr>
                <w:b w:val="0"/>
                <w:sz w:val="17"/>
              </w:rPr>
              <w:t>절감률</w:t>
            </w:r>
          </w:p>
        </w:tc>
        <w:tc>
          <w:tcPr>
            <w:tcW w:type="dxa" w:w="3173"/>
          </w:tcPr>
          <w:p>
            <w:pPr>
              <w:jc w:val="right"/>
            </w:pPr>
            <w:r/>
            <w:r>
              <w:rPr>
                <w:b w:val="0"/>
                <w:sz w:val="17"/>
              </w:rPr>
              <w:t>13.96%</w:t>
            </w:r>
          </w:p>
        </w:tc>
        <w:tc>
          <w:tcPr>
            <w:tcW w:type="dxa" w:w="3173"/>
          </w:tcPr>
          <w:p>
            <w:pPr>
              <w:jc w:val="right"/>
            </w:pPr>
            <w:r/>
            <w:r>
              <w:rPr>
                <w:b w:val="0"/>
                <w:sz w:val="17"/>
              </w:rPr>
              <w:t>30.51%</w:t>
            </w:r>
          </w:p>
        </w:tc>
      </w:tr>
      <w:tr>
        <w:tc>
          <w:tcPr>
            <w:tcW w:type="dxa" w:w="3173"/>
          </w:tcPr>
          <w:p>
            <w:r/>
            <w:r>
              <w:rPr>
                <w:b w:val="0"/>
                <w:sz w:val="17"/>
              </w:rPr>
              <w:t>평균 지연</w:t>
            </w:r>
          </w:p>
        </w:tc>
        <w:tc>
          <w:tcPr>
            <w:tcW w:type="dxa" w:w="3173"/>
          </w:tcPr>
          <w:p>
            <w:pPr>
              <w:jc w:val="right"/>
            </w:pPr>
            <w:r/>
            <w:r>
              <w:rPr>
                <w:b w:val="0"/>
                <w:sz w:val="17"/>
              </w:rPr>
              <w:t>86.1 ms</w:t>
            </w:r>
          </w:p>
        </w:tc>
        <w:tc>
          <w:tcPr>
            <w:tcW w:type="dxa" w:w="3173"/>
          </w:tcPr>
          <w:p>
            <w:pPr>
              <w:jc w:val="right"/>
            </w:pPr>
            <w:r/>
            <w:r>
              <w:rPr>
                <w:b w:val="0"/>
                <w:sz w:val="17"/>
              </w:rPr>
              <w:t>105.9 ms</w:t>
            </w:r>
          </w:p>
        </w:tc>
      </w:tr>
      <w:tr>
        <w:tc>
          <w:tcPr>
            <w:tcW w:type="dxa" w:w="3173"/>
          </w:tcPr>
          <w:p>
            <w:r/>
            <w:r>
              <w:rPr>
                <w:b w:val="0"/>
                <w:sz w:val="17"/>
              </w:rPr>
              <w:t>마감 위반</w:t>
            </w:r>
          </w:p>
        </w:tc>
        <w:tc>
          <w:tcPr>
            <w:tcW w:type="dxa" w:w="3173"/>
          </w:tcPr>
          <w:p>
            <w:pPr>
              <w:jc w:val="right"/>
            </w:pPr>
            <w:r/>
            <w:r>
              <w:rPr>
                <w:b w:val="0"/>
                <w:sz w:val="17"/>
              </w:rPr>
              <w:t>29,108건</w:t>
            </w:r>
          </w:p>
        </w:tc>
        <w:tc>
          <w:tcPr>
            <w:tcW w:type="dxa" w:w="3173"/>
          </w:tcPr>
          <w:p>
            <w:pPr>
              <w:jc w:val="right"/>
            </w:pPr>
            <w:r/>
            <w:r>
              <w:rPr>
                <w:b w:val="0"/>
                <w:sz w:val="17"/>
              </w:rPr>
              <w:t>17,054건</w:t>
            </w:r>
          </w:p>
        </w:tc>
      </w:tr>
      <w:tr>
        <w:tc>
          <w:tcPr>
            <w:tcW w:type="dxa" w:w="3173"/>
          </w:tcPr>
          <w:p>
            <w:r/>
            <w:r>
              <w:rPr>
                <w:b w:val="0"/>
                <w:sz w:val="17"/>
              </w:rPr>
              <w:t>용량 위반</w:t>
            </w:r>
          </w:p>
        </w:tc>
        <w:tc>
          <w:tcPr>
            <w:tcW w:type="dxa" w:w="3173"/>
          </w:tcPr>
          <w:p>
            <w:pPr>
              <w:jc w:val="right"/>
            </w:pPr>
            <w:r/>
            <w:r>
              <w:rPr>
                <w:b w:val="0"/>
                <w:sz w:val="17"/>
              </w:rPr>
              <w:t>5,172건</w:t>
            </w:r>
          </w:p>
        </w:tc>
        <w:tc>
          <w:tcPr>
            <w:tcW w:type="dxa" w:w="3173"/>
          </w:tcPr>
          <w:p>
            <w:pPr>
              <w:jc w:val="right"/>
            </w:pPr>
            <w:r/>
            <w:r>
              <w:rPr>
                <w:b w:val="0"/>
                <w:sz w:val="17"/>
              </w:rPr>
              <w:t>3,745건</w:t>
            </w:r>
          </w:p>
        </w:tc>
      </w:tr>
    </w:tbl>
    <w:p/>
    <w:p>
      <w:pPr>
        <w:spacing w:before="120" w:after="40"/>
        <w:jc w:val="center"/>
      </w:pPr>
      <w:r>
        <w:rPr>
          <w:b/>
          <w:sz w:val="17"/>
        </w:rPr>
        <w:t>표 S7. Caspian 전체 스케일 — 슬롯 점유를 올림한 경우와 분수로 둔 경우</w:t>
      </w:r>
    </w:p>
    <w:p>
      <w:pPr>
        <w:jc w:val="both"/>
      </w:pPr>
      <w:r>
        <w:rPr>
          <w:i w:val="0"/>
          <w:sz w:val="20"/>
        </w:rPr>
        <w:t>60일 표본에서 본 방향(분수가 네 지표 모두 개선)이 전체 스케일에서도 그대로 나왔다. 다만 절감률의 절대값은 표본과 크게 다르다 — 60일 표본은 큐가 아직 정상 상태에 이르지 않은 구간을 포함한다. 두 모드 모두 마감 위반이 만 건 단위로 나오는데, 이는 구현의 결함이 아니라 Caspian이 마감을 목적함수의 페널티로 두는 설계에서 온다. 본 연구가 마감을 하드 제약으로 두고 용량을 양보하는 것과 정확히 반대다.</w:t>
      </w:r>
    </w:p>
    <w:p>
      <w:pPr>
        <w:pStyle w:val="Heading1"/>
      </w:pPr>
      <w:r>
        <w:rPr>
          <w:rFonts w:ascii="맑은 고딕" w:hAnsi="맑은 고딕"/>
        </w:rPr>
        <w:t>A.6  대응시키지 않은 정책과 그 이유</w:t>
      </w:r>
    </w:p>
    <w:p>
      <w:pPr>
        <w:jc w:val="both"/>
      </w:pPr>
      <w:r>
        <w:rPr>
          <w:i w:val="0"/>
          <w:sz w:val="20"/>
        </w:rPr>
        <w:t>CarbonFlex는 작업 하나가 쓰는 서버 대수를 늘리고 줄이는 탄력적 확장을 기제로 삼는다. 본 연구의 작업은 원자적이어서 리전과 시각만 바뀌며 그러한 다이얼이 없으므로, 대응시킬 수 있는 실행 자체가 존재하지 않는다.</w:t>
      </w:r>
    </w:p>
    <w:p>
      <w:pPr>
        <w:jc w:val="both"/>
      </w:pPr>
      <w:r>
        <w:rPr>
          <w:i w:val="0"/>
          <w:sz w:val="20"/>
        </w:rPr>
        <w:t>GSLB는 원문에서 탄소집약도와 거리의 가중합으로 점수를 매기며 가중치를 0.67로 둔다. 고정 가중치를 쓴다는 점은 CASPER와 같으나 값이 다르고 절충 대상도 다르므로, 두 시스템을 하나의 행으로 묶지 않았다.</w:t>
      </w:r>
    </w:p>
    <w:p>
      <w:pPr>
        <w:pStyle w:val="Heading1"/>
      </w:pPr>
      <w:r>
        <w:rPr>
          <w:rFonts w:ascii="맑은 고딕" w:hAnsi="맑은 고딕"/>
        </w:rPr>
        <w:t>A.7  선행 연구의 평가 규모</w:t>
      </w:r>
    </w:p>
    <w:p>
      <w:pPr>
        <w:jc w:val="both"/>
      </w:pPr>
      <w:r>
        <w:rPr>
          <w:i w:val="0"/>
          <w:sz w:val="20"/>
        </w:rPr>
        <w:t>본 연구는 실제 클러스터 배포가 아닌 시뮬레이션 평가다. 비교 대상들의 평가 방식을 원문에서 확인한 결과는 다음과 같다.</w:t>
      </w:r>
    </w:p>
    <w:p>
      <w:pPr>
        <w:spacing w:before="120" w:after="40"/>
        <w:jc w:val="center"/>
      </w:pPr>
      <w:r>
        <w:rPr>
          <w:b/>
          <w:sz w:val="17"/>
        </w:rPr>
        <w:t>표 S8. 선행 연구와 본 연구의 평가 방식·규모</w:t>
      </w:r>
    </w:p>
    <w:tbl>
      <w:tblPr>
        <w:tblStyle w:val="TableGrid"/>
        <w:tblW w:type="auto" w:w="0"/>
        <w:tblLook w:firstColumn="1" w:firstRow="1" w:lastColumn="0" w:lastRow="0" w:noHBand="0" w:noVBand="1" w:val="04A0"/>
      </w:tblPr>
      <w:tblGrid>
        <w:gridCol w:w="2379"/>
        <w:gridCol w:w="2379"/>
        <w:gridCol w:w="2379"/>
        <w:gridCol w:w="2379"/>
      </w:tblGrid>
      <w:tr>
        <w:tc>
          <w:tcPr>
            <w:tcW w:type="dxa" w:w="2379"/>
          </w:tcPr>
          <w:p>
            <w:r/>
            <w:r>
              <w:rPr>
                <w:b/>
                <w:sz w:val="17"/>
              </w:rPr>
              <w:t>연구</w:t>
            </w:r>
          </w:p>
        </w:tc>
        <w:tc>
          <w:tcPr>
            <w:tcW w:type="dxa" w:w="2379"/>
          </w:tcPr>
          <w:p>
            <w:r/>
            <w:r>
              <w:rPr>
                <w:b/>
                <w:sz w:val="17"/>
              </w:rPr>
              <w:t>평가 방식</w:t>
            </w:r>
          </w:p>
        </w:tc>
        <w:tc>
          <w:tcPr>
            <w:tcW w:type="dxa" w:w="2379"/>
          </w:tcPr>
          <w:p>
            <w:r/>
            <w:r>
              <w:rPr>
                <w:b/>
                <w:sz w:val="17"/>
              </w:rPr>
              <w:t>규모</w:t>
            </w:r>
          </w:p>
        </w:tc>
        <w:tc>
          <w:tcPr>
            <w:tcW w:type="dxa" w:w="2379"/>
          </w:tcPr>
          <w:p>
            <w:r/>
            <w:r>
              <w:rPr>
                <w:b/>
                <w:sz w:val="17"/>
              </w:rPr>
              <w:t>기간</w:t>
            </w:r>
          </w:p>
        </w:tc>
      </w:tr>
      <w:tr>
        <w:tc>
          <w:tcPr>
            <w:tcW w:type="dxa" w:w="2379"/>
          </w:tcPr>
          <w:p>
            <w:r/>
            <w:r>
              <w:rPr>
                <w:b w:val="0"/>
                <w:sz w:val="17"/>
              </w:rPr>
              <w:t>CICS</w:t>
            </w:r>
          </w:p>
        </w:tc>
        <w:tc>
          <w:tcPr>
            <w:tcW w:type="dxa" w:w="2379"/>
          </w:tcPr>
          <w:p>
            <w:r/>
            <w:r>
              <w:rPr>
                <w:b w:val="0"/>
                <w:sz w:val="17"/>
              </w:rPr>
              <w:t>실제 운영 배포</w:t>
            </w:r>
          </w:p>
        </w:tc>
        <w:tc>
          <w:tcPr>
            <w:tcW w:type="dxa" w:w="2379"/>
          </w:tcPr>
          <w:p>
            <w:r/>
            <w:r>
              <w:rPr>
                <w:b w:val="0"/>
                <w:sz w:val="17"/>
              </w:rPr>
              <w:t>사업자 데이터센터</w:t>
            </w:r>
          </w:p>
        </w:tc>
        <w:tc>
          <w:tcPr>
            <w:tcW w:type="dxa" w:w="2379"/>
          </w:tcPr>
          <w:p>
            <w:r/>
            <w:r>
              <w:rPr>
                <w:b w:val="0"/>
                <w:sz w:val="17"/>
              </w:rPr>
              <w:t>—</w:t>
            </w:r>
          </w:p>
        </w:tc>
      </w:tr>
      <w:tr>
        <w:tc>
          <w:tcPr>
            <w:tcW w:type="dxa" w:w="2379"/>
          </w:tcPr>
          <w:p>
            <w:r/>
            <w:r>
              <w:rPr>
                <w:b w:val="0"/>
                <w:sz w:val="17"/>
              </w:rPr>
              <w:t>CarbonFlex</w:t>
            </w:r>
          </w:p>
        </w:tc>
        <w:tc>
          <w:tcPr>
            <w:tcW w:type="dxa" w:w="2379"/>
          </w:tcPr>
          <w:p>
            <w:r/>
            <w:r>
              <w:rPr>
                <w:b w:val="0"/>
                <w:sz w:val="17"/>
              </w:rPr>
              <w:t>클라우드 프로토타입</w:t>
            </w:r>
          </w:p>
        </w:tc>
        <w:tc>
          <w:tcPr>
            <w:tcW w:type="dxa" w:w="2379"/>
          </w:tcPr>
          <w:p>
            <w:r/>
            <w:r>
              <w:rPr>
                <w:b w:val="0"/>
                <w:sz w:val="17"/>
              </w:rPr>
              <w:t>CPU·GPU 클러스터</w:t>
            </w:r>
          </w:p>
        </w:tc>
        <w:tc>
          <w:tcPr>
            <w:tcW w:type="dxa" w:w="2379"/>
          </w:tcPr>
          <w:p>
            <w:r/>
            <w:r>
              <w:rPr>
                <w:b w:val="0"/>
                <w:sz w:val="17"/>
              </w:rPr>
              <w:t>—</w:t>
            </w:r>
          </w:p>
        </w:tc>
      </w:tr>
      <w:tr>
        <w:tc>
          <w:tcPr>
            <w:tcW w:type="dxa" w:w="2379"/>
          </w:tcPr>
          <w:p>
            <w:r/>
            <w:r>
              <w:rPr>
                <w:b w:val="0"/>
                <w:sz w:val="17"/>
              </w:rPr>
              <w:t>CASPER</w:t>
            </w:r>
          </w:p>
        </w:tc>
        <w:tc>
          <w:tcPr>
            <w:tcW w:type="dxa" w:w="2379"/>
          </w:tcPr>
          <w:p>
            <w:r/>
            <w:r>
              <w:rPr>
                <w:b w:val="0"/>
                <w:sz w:val="17"/>
              </w:rPr>
              <w:t>원문 표현 “simulation”</w:t>
            </w:r>
          </w:p>
        </w:tc>
        <w:tc>
          <w:tcPr>
            <w:tcW w:type="dxa" w:w="2379"/>
          </w:tcPr>
          <w:p>
            <w:r/>
            <w:r>
              <w:rPr>
                <w:b w:val="0"/>
                <w:sz w:val="17"/>
              </w:rPr>
              <w:t>웹 서비스 모사</w:t>
            </w:r>
          </w:p>
        </w:tc>
        <w:tc>
          <w:tcPr>
            <w:tcW w:type="dxa" w:w="2379"/>
          </w:tcPr>
          <w:p>
            <w:r/>
            <w:r>
              <w:rPr>
                <w:b w:val="0"/>
                <w:sz w:val="17"/>
              </w:rPr>
              <w:t>24시간</w:t>
            </w:r>
          </w:p>
        </w:tc>
      </w:tr>
      <w:tr>
        <w:tc>
          <w:tcPr>
            <w:tcW w:type="dxa" w:w="2379"/>
          </w:tcPr>
          <w:p>
            <w:r/>
            <w:r>
              <w:rPr>
                <w:b w:val="0"/>
                <w:sz w:val="17"/>
              </w:rPr>
              <w:t>Caspian</w:t>
            </w:r>
          </w:p>
        </w:tc>
        <w:tc>
          <w:tcPr>
            <w:tcW w:type="dxa" w:w="2379"/>
          </w:tcPr>
          <w:p>
            <w:r/>
            <w:r>
              <w:rPr>
                <w:b w:val="0"/>
                <w:sz w:val="17"/>
              </w:rPr>
              <w:t>컨테이너 기반 4클러스터</w:t>
            </w:r>
          </w:p>
        </w:tc>
        <w:tc>
          <w:tcPr>
            <w:tcW w:type="dxa" w:w="2379"/>
          </w:tcPr>
          <w:p>
            <w:r/>
            <w:r>
              <w:rPr>
                <w:b w:val="0"/>
                <w:sz w:val="17"/>
              </w:rPr>
              <w:t>작업 200건</w:t>
            </w:r>
          </w:p>
        </w:tc>
        <w:tc>
          <w:tcPr>
            <w:tcW w:type="dxa" w:w="2379"/>
          </w:tcPr>
          <w:p>
            <w:r/>
            <w:r>
              <w:rPr>
                <w:b w:val="0"/>
                <w:sz w:val="17"/>
              </w:rPr>
              <w:t>24시간</w:t>
            </w:r>
          </w:p>
        </w:tc>
      </w:tr>
      <w:tr>
        <w:tc>
          <w:tcPr>
            <w:tcW w:type="dxa" w:w="2379"/>
          </w:tcPr>
          <w:p>
            <w:r/>
            <w:r>
              <w:rPr>
                <w:b w:val="0"/>
                <w:sz w:val="17"/>
              </w:rPr>
              <w:t>Sukprasert</w:t>
            </w:r>
          </w:p>
        </w:tc>
        <w:tc>
          <w:tcPr>
            <w:tcW w:type="dxa" w:w="2379"/>
          </w:tcPr>
          <w:p>
            <w:r/>
            <w:r>
              <w:rPr>
                <w:b w:val="0"/>
                <w:sz w:val="17"/>
              </w:rPr>
              <w:t>추적 기반 시뮬레이션</w:t>
            </w:r>
          </w:p>
        </w:tc>
        <w:tc>
          <w:tcPr>
            <w:tcW w:type="dxa" w:w="2379"/>
          </w:tcPr>
          <w:p>
            <w:r/>
            <w:r>
              <w:rPr>
                <w:b w:val="0"/>
                <w:sz w:val="17"/>
              </w:rPr>
              <w:t>123개 리전</w:t>
            </w:r>
          </w:p>
        </w:tc>
        <w:tc>
          <w:tcPr>
            <w:tcW w:type="dxa" w:w="2379"/>
          </w:tcPr>
          <w:p>
            <w:r/>
            <w:r>
              <w:rPr>
                <w:b w:val="0"/>
                <w:sz w:val="17"/>
              </w:rPr>
              <w:t>3년</w:t>
            </w:r>
          </w:p>
        </w:tc>
      </w:tr>
      <w:tr>
        <w:tc>
          <w:tcPr>
            <w:tcW w:type="dxa" w:w="2379"/>
          </w:tcPr>
          <w:p>
            <w:r/>
            <w:r>
              <w:rPr>
                <w:b w:val="0"/>
                <w:sz w:val="17"/>
              </w:rPr>
              <w:t>본 연구</w:t>
            </w:r>
          </w:p>
        </w:tc>
        <w:tc>
          <w:tcPr>
            <w:tcW w:type="dxa" w:w="2379"/>
          </w:tcPr>
          <w:p>
            <w:r/>
            <w:r>
              <w:rPr>
                <w:b w:val="0"/>
                <w:sz w:val="17"/>
              </w:rPr>
              <w:t>추적 기반 시뮬레이션</w:t>
            </w:r>
          </w:p>
        </w:tc>
        <w:tc>
          <w:tcPr>
            <w:tcW w:type="dxa" w:w="2379"/>
          </w:tcPr>
          <w:p>
            <w:r/>
            <w:r>
              <w:rPr>
                <w:b w:val="0"/>
                <w:sz w:val="17"/>
              </w:rPr>
              <w:t>8개 리전 · 작업 146,000건</w:t>
            </w:r>
          </w:p>
        </w:tc>
        <w:tc>
          <w:tcPr>
            <w:tcW w:type="dxa" w:w="2379"/>
          </w:tcPr>
          <w:p>
            <w:r/>
            <w:r>
              <w:rPr>
                <w:b w:val="0"/>
                <w:sz w:val="17"/>
              </w:rPr>
              <w:t>1년</w:t>
            </w:r>
          </w:p>
        </w:tc>
      </w:tr>
    </w:tbl>
    <w:p/>
    <w:p>
      <w:pPr>
        <w:jc w:val="both"/>
      </w:pPr>
      <w:r>
        <w:rPr>
          <w:i w:val="0"/>
          <w:sz w:val="20"/>
        </w:rPr>
        <w:t>탄소집약도는 계절에 따른 구조를 갖는다. 여름의 태양광과 겨울의 풍력, 리전 간 위상차는 하루 단위 실험으로는 관측할 수 없다. 본편 4.3절이 보고하는 “용량을 두지 않았을 때 시간 이동이 만드는 절감의 71.9%가 한 리전에서 발생하고, 그 리전에서 상한을 넘긴 시간의 91.38%가 UTC 19~21시, 곧 현지 한낮 세 시간에 몰린다”는 결과는 1년치 자료 없이는 얻을 수 없다.</w:t>
      </w:r>
    </w:p>
    <w:p>
      <w:pPr>
        <w:jc w:val="both"/>
      </w:pPr>
      <w:r>
        <w:rPr>
          <w:i w:val="0"/>
          <w:sz w:val="20"/>
        </w:rPr>
        <w:t>반면 실제 배포만 확인할 수 있는 것도 있다. 스케줄러가 클러스터 관리 계층의 실제 인터페이스와 맞물리는 비용, 작업 이관의 부대 비용, 초기 기동 지연이 그것이다. 본 연구는 이를 검증하지 못했으며 본편 5절에 한계로 밝혔다.</w:t>
      </w:r>
    </w:p>
    <w:p>
      <w:pPr>
        <w:pStyle w:val="Heading1"/>
      </w:pPr>
      <w:r>
        <w:rPr>
          <w:rFonts w:ascii="맑은 고딕" w:hAnsi="맑은 고딕"/>
        </w:rPr>
        <w:t>A.8  아티팩트 — 코드와 재현 절차</w:t>
      </w:r>
    </w:p>
    <w:p>
      <w:pPr>
        <w:jc w:val="both"/>
      </w:pPr>
      <w:r>
        <w:rPr>
          <w:i w:val="0"/>
          <w:sz w:val="20"/>
        </w:rPr>
        <w:t>본편의 모든 수치는 아래 절차로 다시 만들 수 있다. 선행 정책 재현 코드는 기존 파이프라인을 고치지 않고 별도 모듈로 두었다.</w:t>
      </w:r>
    </w:p>
    <w:p>
      <w:pPr>
        <w:pStyle w:val="Heading2"/>
      </w:pPr>
      <w:r>
        <w:rPr>
          <w:rFonts w:ascii="맑은 고딕" w:hAnsi="맑은 고딕"/>
        </w:rPr>
        <w:t>구성</w:t>
      </w:r>
    </w:p>
    <w:p>
      <w:pPr>
        <w:spacing w:before="120" w:after="40"/>
        <w:jc w:val="center"/>
      </w:pPr>
      <w:r>
        <w:rPr>
          <w:b/>
          <w:sz w:val="17"/>
        </w:rPr>
        <w:t>표 S9. 재현에 쓰이는 파일</w:t>
      </w:r>
    </w:p>
    <w:tbl>
      <w:tblPr>
        <w:tblStyle w:val="TableGrid"/>
        <w:tblW w:type="auto" w:w="0"/>
        <w:tblLook w:firstColumn="1" w:firstRow="1" w:lastColumn="0" w:lastRow="0" w:noHBand="0" w:noVBand="1" w:val="04A0"/>
      </w:tblPr>
      <w:tblGrid>
        <w:gridCol w:w="4759"/>
        <w:gridCol w:w="4759"/>
      </w:tblGrid>
      <w:tr>
        <w:tc>
          <w:tcPr>
            <w:tcW w:type="dxa" w:w="4759"/>
          </w:tcPr>
          <w:p>
            <w:r/>
            <w:r>
              <w:rPr>
                <w:b/>
                <w:sz w:val="17"/>
              </w:rPr>
              <w:t>파일</w:t>
            </w:r>
          </w:p>
        </w:tc>
        <w:tc>
          <w:tcPr>
            <w:tcW w:type="dxa" w:w="4759"/>
          </w:tcPr>
          <w:p>
            <w:r/>
            <w:r>
              <w:rPr>
                <w:b/>
                <w:sz w:val="17"/>
              </w:rPr>
              <w:t>내용</w:t>
            </w:r>
          </w:p>
        </w:tc>
      </w:tr>
      <w:tr>
        <w:tc>
          <w:tcPr>
            <w:tcW w:type="dxa" w:w="4759"/>
          </w:tcPr>
          <w:p>
            <w:r/>
            <w:r>
              <w:rPr>
                <w:b w:val="0"/>
                <w:sz w:val="17"/>
              </w:rPr>
              <w:t>scheduler/prior_harness.py</w:t>
            </w:r>
          </w:p>
        </w:tc>
        <w:tc>
          <w:tcPr>
            <w:tcW w:type="dxa" w:w="4759"/>
          </w:tcPr>
          <w:p>
            <w:r/>
            <w:r>
              <w:rPr>
                <w:b w:val="0"/>
                <w:sz w:val="17"/>
              </w:rPr>
              <w:t>공용 채점 함수. 모든 재현이 여기를 통과한다</w:t>
            </w:r>
          </w:p>
        </w:tc>
      </w:tr>
      <w:tr>
        <w:tc>
          <w:tcPr>
            <w:tcW w:type="dxa" w:w="4759"/>
          </w:tcPr>
          <w:p>
            <w:r/>
            <w:r>
              <w:rPr>
                <w:b w:val="0"/>
                <w:sz w:val="17"/>
              </w:rPr>
              <w:t>scheduler/prior_casper.py</w:t>
            </w:r>
          </w:p>
        </w:tc>
        <w:tc>
          <w:tcPr>
            <w:tcW w:type="dxa" w:w="4759"/>
          </w:tcPr>
          <w:p>
            <w:r/>
            <w:r>
              <w:rPr>
                <w:b w:val="0"/>
                <w:sz w:val="17"/>
              </w:rPr>
              <w:t>CASPER MILP (A.2)</w:t>
            </w:r>
          </w:p>
        </w:tc>
      </w:tr>
      <w:tr>
        <w:tc>
          <w:tcPr>
            <w:tcW w:type="dxa" w:w="4759"/>
          </w:tcPr>
          <w:p>
            <w:r/>
            <w:r>
              <w:rPr>
                <w:b w:val="0"/>
                <w:sz w:val="17"/>
              </w:rPr>
              <w:t>scheduler/prior_cics.py</w:t>
            </w:r>
          </w:p>
        </w:tc>
        <w:tc>
          <w:tcPr>
            <w:tcW w:type="dxa" w:w="4759"/>
          </w:tcPr>
          <w:p>
            <w:r/>
            <w:r>
              <w:rPr>
                <w:b w:val="0"/>
                <w:sz w:val="17"/>
              </w:rPr>
              <w:t>CICS VCC (A.3)</w:t>
            </w:r>
          </w:p>
        </w:tc>
      </w:tr>
      <w:tr>
        <w:tc>
          <w:tcPr>
            <w:tcW w:type="dxa" w:w="4759"/>
          </w:tcPr>
          <w:p>
            <w:r/>
            <w:r>
              <w:rPr>
                <w:b w:val="0"/>
                <w:sz w:val="17"/>
              </w:rPr>
              <w:t>scheduler/prior_sukprasert.py</w:t>
            </w:r>
          </w:p>
        </w:tc>
        <w:tc>
          <w:tcPr>
            <w:tcW w:type="dxa" w:w="4759"/>
          </w:tcPr>
          <w:p>
            <w:r/>
            <w:r>
              <w:rPr>
                <w:b w:val="0"/>
                <w:sz w:val="17"/>
              </w:rPr>
              <w:t>Sukprasert 탐색 (A.4)</w:t>
            </w:r>
          </w:p>
        </w:tc>
      </w:tr>
      <w:tr>
        <w:tc>
          <w:tcPr>
            <w:tcW w:type="dxa" w:w="4759"/>
          </w:tcPr>
          <w:p>
            <w:r/>
            <w:r>
              <w:rPr>
                <w:b w:val="0"/>
                <w:sz w:val="17"/>
              </w:rPr>
              <w:t>scheduler/prior_caspian.py</w:t>
            </w:r>
          </w:p>
        </w:tc>
        <w:tc>
          <w:tcPr>
            <w:tcW w:type="dxa" w:w="4759"/>
          </w:tcPr>
          <w:p>
            <w:r/>
            <w:r>
              <w:rPr>
                <w:b w:val="0"/>
                <w:sz w:val="17"/>
              </w:rPr>
              <w:t>Caspian 정수 계획 (A.5)</w:t>
            </w:r>
          </w:p>
        </w:tc>
      </w:tr>
      <w:tr>
        <w:tc>
          <w:tcPr>
            <w:tcW w:type="dxa" w:w="4759"/>
          </w:tcPr>
          <w:p>
            <w:r/>
            <w:r>
              <w:rPr>
                <w:b w:val="0"/>
                <w:sz w:val="17"/>
              </w:rPr>
              <w:t>scheduler/reproduce.py</w:t>
            </w:r>
          </w:p>
        </w:tc>
        <w:tc>
          <w:tcPr>
            <w:tcW w:type="dxa" w:w="4759"/>
          </w:tcPr>
          <w:p>
            <w:r/>
            <w:r>
              <w:rPr>
                <w:b w:val="0"/>
                <w:sz w:val="17"/>
              </w:rPr>
              <w:t>본편 표·그림 재생성</w:t>
            </w:r>
          </w:p>
        </w:tc>
      </w:tr>
      <w:tr>
        <w:tc>
          <w:tcPr>
            <w:tcW w:type="dxa" w:w="4759"/>
          </w:tcPr>
          <w:p>
            <w:r/>
            <w:r>
              <w:rPr>
                <w:b w:val="0"/>
                <w:sz w:val="17"/>
              </w:rPr>
              <w:t>paper/diagram/gen_*.py</w:t>
            </w:r>
          </w:p>
        </w:tc>
        <w:tc>
          <w:tcPr>
            <w:tcW w:type="dxa" w:w="4759"/>
          </w:tcPr>
          <w:p>
            <w:r/>
            <w:r>
              <w:rPr>
                <w:b w:val="0"/>
                <w:sz w:val="17"/>
              </w:rPr>
              <w:t>그림 생성</w:t>
            </w:r>
          </w:p>
        </w:tc>
      </w:tr>
    </w:tbl>
    <w:p/>
    <w:p>
      <w:pPr>
        <w:pStyle w:val="Heading2"/>
      </w:pPr>
      <w:r>
        <w:rPr>
          <w:rFonts w:ascii="맑은 고딕" w:hAnsi="맑은 고딕"/>
        </w:rPr>
        <w:t>실행</w:t>
      </w:r>
    </w:p>
    <w:p>
      <w:pPr>
        <w:jc w:val="both"/>
      </w:pPr>
      <w:r>
        <w:rPr>
          <w:i w:val="0"/>
          <w:sz w:val="20"/>
        </w:rPr>
        <w:t>본편 표 1·2와 그림은 한 명령으로 나온다.</w:t>
      </w:r>
    </w:p>
    <w:p>
      <w:pPr>
        <w:spacing w:after="80"/>
        <w:ind w:left="340"/>
      </w:pPr>
      <w:r>
        <w:rPr>
          <w:rFonts w:ascii="Menlo" w:hAnsi="Menlo"/>
          <w:sz w:val="17"/>
        </w:rPr>
        <w:t>python -m scheduler.reproduce</w:t>
      </w:r>
    </w:p>
    <w:p>
      <w:pPr>
        <w:jc w:val="both"/>
      </w:pPr>
      <w:r>
        <w:rPr>
          <w:i w:val="0"/>
          <w:sz w:val="20"/>
        </w:rPr>
        <w:t>표 5의 선행 정책은 정책마다 따로 돌린다. 어느 것이든 결과는 같은 채점 함수를 통과하므로 서로 비교할 수 있다.</w:t>
      </w:r>
    </w:p>
    <w:p>
      <w:pPr>
        <w:spacing w:after="80"/>
        <w:ind w:left="340"/>
      </w:pPr>
      <w:r>
        <w:rPr>
          <w:rFonts w:ascii="Menlo" w:hAnsi="Menlo"/>
          <w:sz w:val="17"/>
        </w:rPr>
        <w:t>python -m scheduler.prior_harness            # 채점 함수 자체 검증</w:t>
      </w:r>
    </w:p>
    <w:p>
      <w:pPr>
        <w:spacing w:after="80"/>
        <w:ind w:left="340"/>
      </w:pPr>
      <w:r>
        <w:rPr>
          <w:rFonts w:ascii="Menlo" w:hAnsi="Menlo"/>
          <w:sz w:val="17"/>
        </w:rPr>
        <w:t>python -m scheduler.prior_casper             # α=0.9 와 0.5 둘 다</w:t>
      </w:r>
    </w:p>
    <w:p>
      <w:pPr>
        <w:spacing w:after="80"/>
        <w:ind w:left="340"/>
      </w:pPr>
      <w:r>
        <w:rPr>
          <w:rFonts w:ascii="Menlo" w:hAnsi="Menlo"/>
          <w:sz w:val="17"/>
        </w:rPr>
        <w:t>python -m scheduler.prior_casper --alpha 0.9 # 하나만</w:t>
      </w:r>
    </w:p>
    <w:p>
      <w:pPr>
        <w:spacing w:after="80"/>
        <w:ind w:left="340"/>
      </w:pPr>
      <w:r>
        <w:rPr>
          <w:rFonts w:ascii="Menlo" w:hAnsi="Menlo"/>
          <w:sz w:val="17"/>
        </w:rPr>
        <w:t>python -m scheduler.prior_cics               # λp/λe = 0</w:t>
      </w:r>
    </w:p>
    <w:p>
      <w:pPr>
        <w:spacing w:after="80"/>
        <w:ind w:left="340"/>
      </w:pPr>
      <w:r>
        <w:rPr>
          <w:rFonts w:ascii="Menlo" w:hAnsi="Menlo"/>
          <w:sz w:val="17"/>
        </w:rPr>
        <w:t>python -m scheduler.prior_cics --sweep       # A.3 가중치 스윕</w:t>
      </w:r>
    </w:p>
    <w:p>
      <w:pPr>
        <w:spacing w:after="80"/>
        <w:ind w:left="340"/>
      </w:pPr>
      <w:r>
        <w:rPr>
          <w:rFonts w:ascii="Menlo" w:hAnsi="Menlo"/>
          <w:sz w:val="17"/>
        </w:rPr>
        <w:t>python -m scheduler.prior_sukprasert         # 시간 단독·공간+시간</w:t>
      </w:r>
    </w:p>
    <w:p>
      <w:pPr>
        <w:spacing w:after="80"/>
        <w:ind w:left="340"/>
      </w:pPr>
      <w:r>
        <w:rPr>
          <w:rFonts w:ascii="Menlo" w:hAnsi="Menlo"/>
          <w:sz w:val="17"/>
        </w:rPr>
        <w:t>python -m scheduler.run_caspian_sweep 1.0    # Caspian, ω1 지정</w:t>
      </w:r>
    </w:p>
    <w:p>
      <w:pPr>
        <w:spacing w:after="80"/>
        <w:ind w:left="340"/>
      </w:pPr>
      <w:r>
        <w:rPr>
          <w:rFonts w:ascii="Menlo" w:hAnsi="Menlo"/>
          <w:sz w:val="17"/>
        </w:rPr>
        <w:t>python -m scheduler.run_caspian_sweep 1.0 fractional</w:t>
      </w:r>
    </w:p>
    <w:p>
      <w:pPr>
        <w:jc w:val="both"/>
      </w:pPr>
      <w:r>
        <w:rPr>
          <w:i w:val="0"/>
          <w:sz w:val="20"/>
        </w:rPr>
        <w:t>Caspian 만 모듈이 아니라 별도 드라이버로 돈다. prior_caspian.py 는 결정만 돌려주고 채점하지 않으므로 직접 실행할 진입점이 없다 — 위 드라이버가 그 결정을 받아 공용 채점 함수에 넘긴다. 첫 인자는 원문의 가중치 ω1 이고, 둘째 인자를 주면 정수 올림 대신 분수 배정을 쓴다.</w:t>
      </w:r>
    </w:p>
    <w:p>
      <w:pPr>
        <w:jc w:val="both"/>
      </w:pPr>
      <w:r>
        <w:rPr>
          <w:i w:val="0"/>
          <w:sz w:val="20"/>
        </w:rPr>
        <w:t>A.9 의 정확 적분 재채점 표 두 개는 다음으로 만든다.</w:t>
      </w:r>
    </w:p>
    <w:p>
      <w:pPr>
        <w:spacing w:after="80"/>
        <w:ind w:left="340"/>
      </w:pPr>
      <w:r>
        <w:rPr>
          <w:rFonts w:ascii="Menlo" w:hAnsi="Menlo"/>
          <w:sz w:val="17"/>
        </w:rPr>
        <w:t>python -m scheduler.accounting_check_table5</w:t>
      </w:r>
    </w:p>
    <w:p>
      <w:pPr>
        <w:pStyle w:val="Heading2"/>
      </w:pPr>
      <w:r>
        <w:rPr>
          <w:rFonts w:ascii="맑은 고딕" w:hAnsi="맑은 고딕"/>
        </w:rPr>
        <w:t>입력 자료</w:t>
      </w:r>
    </w:p>
    <w:p>
      <w:pPr>
        <w:spacing w:before="120" w:after="40"/>
        <w:jc w:val="center"/>
      </w:pPr>
      <w:r>
        <w:rPr>
          <w:b/>
          <w:sz w:val="17"/>
        </w:rPr>
        <w:t>표 S10. 저장소에 포함된 입력 자료</w:t>
      </w:r>
    </w:p>
    <w:tbl>
      <w:tblPr>
        <w:tblStyle w:val="TableGrid"/>
        <w:tblW w:type="auto" w:w="0"/>
        <w:tblLook w:firstColumn="1" w:firstRow="1" w:lastColumn="0" w:lastRow="0" w:noHBand="0" w:noVBand="1" w:val="04A0"/>
      </w:tblPr>
      <w:tblGrid>
        <w:gridCol w:w="4759"/>
        <w:gridCol w:w="4759"/>
      </w:tblGrid>
      <w:tr>
        <w:tc>
          <w:tcPr>
            <w:tcW w:type="dxa" w:w="4759"/>
          </w:tcPr>
          <w:p>
            <w:r/>
            <w:r>
              <w:rPr>
                <w:b/>
                <w:sz w:val="17"/>
              </w:rPr>
              <w:t>경로</w:t>
            </w:r>
          </w:p>
        </w:tc>
        <w:tc>
          <w:tcPr>
            <w:tcW w:type="dxa" w:w="4759"/>
          </w:tcPr>
          <w:p>
            <w:r/>
            <w:r>
              <w:rPr>
                <w:b/>
                <w:sz w:val="17"/>
              </w:rPr>
              <w:t>내용</w:t>
            </w:r>
          </w:p>
        </w:tc>
      </w:tr>
      <w:tr>
        <w:tc>
          <w:tcPr>
            <w:tcW w:type="dxa" w:w="4759"/>
          </w:tcPr>
          <w:p>
            <w:r/>
            <w:r>
              <w:rPr>
                <w:b w:val="0"/>
                <w:sz w:val="17"/>
              </w:rPr>
              <w:t>load_balancer/data/jobs.csv</w:t>
            </w:r>
          </w:p>
        </w:tc>
        <w:tc>
          <w:tcPr>
            <w:tcW w:type="dxa" w:w="4759"/>
          </w:tcPr>
          <w:p>
            <w:r/>
            <w:r>
              <w:rPr>
                <w:b w:val="0"/>
                <w:sz w:val="17"/>
              </w:rPr>
              <w:t>작업 146,000건의 명세 (id·제출 시각·출발 리전·등급·실행 시간)</w:t>
            </w:r>
          </w:p>
        </w:tc>
      </w:tr>
      <w:tr>
        <w:tc>
          <w:tcPr>
            <w:tcW w:type="dxa" w:w="4759"/>
          </w:tcPr>
          <w:p>
            <w:r/>
            <w:r>
              <w:rPr>
                <w:b w:val="0"/>
                <w:sz w:val="17"/>
              </w:rPr>
              <w:t>load_balancer/data/latency_8x8.csv</w:t>
            </w:r>
          </w:p>
        </w:tc>
        <w:tc>
          <w:tcPr>
            <w:tcW w:type="dxa" w:w="4759"/>
          </w:tcPr>
          <w:p>
            <w:r/>
            <w:r>
              <w:rPr>
                <w:b w:val="0"/>
                <w:sz w:val="17"/>
              </w:rPr>
              <w:t>리전 간 왕복 지연 행렬 (ms)</w:t>
            </w:r>
          </w:p>
        </w:tc>
      </w:tr>
      <w:tr>
        <w:tc>
          <w:tcPr>
            <w:tcW w:type="dxa" w:w="4759"/>
          </w:tcPr>
          <w:p>
            <w:r/>
            <w:r>
              <w:rPr>
                <w:b w:val="0"/>
                <w:sz w:val="17"/>
              </w:rPr>
              <w:t>load_balancer/data/lstm_eval/</w:t>
            </w:r>
          </w:p>
        </w:tc>
        <w:tc>
          <w:tcPr>
            <w:tcW w:type="dxa" w:w="4759"/>
          </w:tcPr>
          <w:p>
            <w:r/>
            <w:r>
              <w:rPr>
                <w:b w:val="0"/>
                <w:sz w:val="17"/>
              </w:rPr>
              <w:t>리전별 eval_records — 실측(y_true)과 예측(y_pred)</w:t>
            </w:r>
          </w:p>
        </w:tc>
      </w:tr>
      <w:tr>
        <w:tc>
          <w:tcPr>
            <w:tcW w:type="dxa" w:w="4759"/>
          </w:tcPr>
          <w:p>
            <w:r/>
            <w:r>
              <w:rPr>
                <w:b w:val="0"/>
                <w:sz w:val="17"/>
              </w:rPr>
              <w:t>scheduler/data/</w:t>
            </w:r>
          </w:p>
        </w:tc>
        <w:tc>
          <w:tcPr>
            <w:tcW w:type="dxa" w:w="4759"/>
          </w:tcPr>
          <w:p>
            <w:r/>
            <w:r>
              <w:rPr>
                <w:b w:val="0"/>
                <w:sz w:val="17"/>
              </w:rPr>
              <w:t>용량 스윕·민감도·오라클 실행의 저장된 산출물</w:t>
            </w:r>
          </w:p>
        </w:tc>
      </w:tr>
    </w:tbl>
    <w:p/>
    <w:p>
      <w:pPr>
        <w:jc w:val="both"/>
      </w:pPr>
      <w:r>
        <w:rPr>
          <w:i w:val="0"/>
          <w:sz w:val="20"/>
        </w:rPr>
        <w:t>탄소 회계에 쓰는 실측 계열과 배치 결정에 쓰는 예측 계열은 모두 eval_records 에서 읽는다 — 재현에 LSTM 추론을 다시 돌릴 필요가 없다는 뜻이며, 그래서 학습 설정이 복원되지 않는 것이 재현을 막지 않는다.</w:t>
      </w:r>
    </w:p>
    <w:p>
      <w:pPr>
        <w:pStyle w:val="Heading2"/>
      </w:pPr>
      <w:r>
        <w:rPr>
          <w:rFonts w:ascii="맑은 고딕" w:hAnsi="맑은 고딕"/>
        </w:rPr>
        <w:t>기대 결과와 허용 오차</w:t>
      </w:r>
    </w:p>
    <w:p>
      <w:pPr>
        <w:jc w:val="both"/>
      </w:pPr>
      <w:r>
        <w:rPr>
          <w:i w:val="0"/>
          <w:sz w:val="20"/>
        </w:rPr>
        <w:t>기준 시나리오 29,225.6 kg과 제안 기법 10,805.0 kg(63.03%, 상한 위반 227건)이 그대로 재현되어야 한다. 정수 계획 솔버가 동률을 처리하는 방식이 실행마다 달라질 수 있어 총 배출량이 최대 0.14% 흔들린다. 그보다 큰 차이가 나면 입력 자료나 회계가 어긋난 것이다.</w:t>
      </w:r>
    </w:p>
    <w:p>
      <w:pPr>
        <w:pStyle w:val="Heading2"/>
      </w:pPr>
      <w:r>
        <w:rPr>
          <w:rFonts w:ascii="맑은 고딕" w:hAnsi="맑은 고딕"/>
        </w:rPr>
        <w:t>필요한 것</w:t>
      </w:r>
    </w:p>
    <w:p>
      <w:pPr>
        <w:jc w:val="both"/>
      </w:pPr>
      <w:r>
        <w:rPr>
          <w:i w:val="0"/>
          <w:sz w:val="20"/>
        </w:rPr>
        <w:t>Python 3.11 이상(개발과 검증은 3.14.7 에서 수행), PuLP 3.3.2 와 함께 배포되는 CBC 2.10.3, NumPy. 0.14% 의 흔들림은 솔버의 동률 처리에서 오므로, 같은 값을 그대로 얻으려면 솔버 버전을 맞추는 편이 낫다. 전체 재현에 보통 컴퓨터로 수십 분이 걸리며, A.3 의 가중치 스윕과 A.5 의 Caspian 재현은 그보다 오래 걸린다.</w:t>
      </w:r>
    </w:p>
    <w:p>
      <w:pPr>
        <w:pStyle w:val="Heading1"/>
      </w:pPr>
      <w:r>
        <w:rPr>
          <w:rFonts w:ascii="맑은 고딕" w:hAnsi="맑은 고딕"/>
        </w:rPr>
        <w:t>A.9  정식화와 알고리즘의 세부</w:t>
      </w:r>
    </w:p>
    <w:p>
      <w:pPr>
        <w:jc w:val="both"/>
      </w:pPr>
      <w:r>
        <w:rPr>
          <w:i w:val="0"/>
          <w:sz w:val="20"/>
        </w:rPr>
        <w:t>본편 3.2절·3.4절·3.5절은 각 식이 무엇을 뜻하는지만 밝히고 넘어간다. 한 줄씩 따라가려는 독자를 위해 그 세부를 여기 옮긴다.</w:t>
      </w:r>
    </w:p>
    <w:p>
      <w:pPr>
        <w:pStyle w:val="Heading2"/>
      </w:pPr>
      <w:r>
        <w:rPr>
          <w:rFonts w:ascii="맑은 고딕" w:hAnsi="맑은 고딕"/>
        </w:rPr>
        <w:t>제약식의 항별 의미</w:t>
      </w:r>
    </w:p>
    <w:p>
      <w:pPr>
        <w:spacing w:after="80"/>
        <w:ind w:left="340"/>
      </w:pPr>
      <w:r>
        <w:rPr>
          <w:rFonts w:ascii="Menlo" w:hAnsi="Menlo"/>
          <w:sz w:val="17"/>
        </w:rPr>
        <w:t>(2)  Σ_{r∈R} x_jr = 1,  ∀j ∈ J</w:t>
      </w:r>
    </w:p>
    <w:p>
      <w:pPr>
        <w:jc w:val="both"/>
      </w:pPr>
      <w:r>
        <w:rPr>
          <w:i w:val="0"/>
          <w:sz w:val="20"/>
        </w:rPr>
        <w:t>모든 작업이 정확히 한 리전에 배정된다. 미배정을 허용하지 않는다는 뜻이며, 실측에서도 미배정은 0건이었다.</w:t>
      </w:r>
    </w:p>
    <w:p>
      <w:pPr>
        <w:spacing w:after="80"/>
        <w:ind w:left="340"/>
      </w:pPr>
      <w:r>
        <w:rPr>
          <w:rFonts w:ascii="Menlo" w:hAnsi="Menlo"/>
          <w:sz w:val="17"/>
        </w:rPr>
        <w:t>(3)  |{ j : r(j)=r, τ_j ≤ t &lt; τ_j+d_j }| ≤ ⌊η·cap_r⌋,  ∀r, ∀t</w:t>
      </w:r>
    </w:p>
    <w:p>
      <w:pPr>
        <w:jc w:val="both"/>
      </w:pPr>
      <w:r>
        <w:rPr>
          <w:i w:val="0"/>
          <w:sz w:val="20"/>
        </w:rPr>
        <w:t>어느 시각에도 한 리전의 동시 실행 작업 수가 여유율을 적용한 용량을 넘지 않는다. 본 연구의 형식화가 선행 연구와 갈라지는 지점이다 — 두 축을 결합한 상한 분석을 수행한 선행 연구는 이 제약을 공간 이동 단독 분석에만 도입하고 두 축을 결합한 분석에서는 도입하지 않았다. 이 상한은 3.4절에서 K_r = ⌊η·cap_r⌋ 로 다시 표기하며, 식 (3)의 우변과 식 (12)의 K_r 은 같은 값이다.</w:t>
      </w:r>
    </w:p>
    <w:p>
      <w:pPr>
        <w:spacing w:after="80"/>
        <w:ind w:left="340"/>
      </w:pPr>
      <w:r>
        <w:rPr>
          <w:rFonts w:ascii="Menlo" w:hAnsi="Menlo"/>
          <w:sz w:val="17"/>
        </w:rPr>
        <w:t>(4)  s_j ≤ τ_j,   τ_j + d_j ≤ D_j,  ∀j</w:t>
      </w:r>
    </w:p>
    <w:p>
      <w:pPr>
        <w:jc w:val="both"/>
      </w:pPr>
      <w:r>
        <w:rPr>
          <w:i w:val="0"/>
          <w:sz w:val="20"/>
        </w:rPr>
        <w:t>실행은 제출 이후에 시작하고 마감 이내에 끝난다.</w:t>
      </w:r>
    </w:p>
    <w:p>
      <w:pPr>
        <w:spacing w:after="80"/>
        <w:ind w:left="340"/>
      </w:pPr>
      <w:r>
        <w:rPr>
          <w:rFonts w:ascii="Menlo" w:hAnsi="Menlo"/>
          <w:sz w:val="17"/>
        </w:rPr>
        <w:t>(5)  (τ_j − s_j) + ℓ_{o_j r(j)} ≤ L_j,  ∀j</w:t>
      </w:r>
    </w:p>
    <w:p>
      <w:pPr>
        <w:jc w:val="both"/>
      </w:pPr>
      <w:r>
        <w:rPr>
          <w:i w:val="0"/>
          <w:sz w:val="20"/>
        </w:rPr>
        <w:t>시간 이동에 따른 지연과 네트워크 지연의 합이 지연 예산을 넘지 않는다. 본 구현에서 이 식은 명시적으로 강제하지 않는다 — 네트워크 지연 행렬의 최댓값 244 ms 가 가장 짧은 지연 예산보다도 작아 수치상 구속되지 않기 때문이다.</w:t>
      </w:r>
    </w:p>
    <w:p>
      <w:pPr>
        <w:pStyle w:val="Heading2"/>
      </w:pPr>
      <w:r>
        <w:rPr>
          <w:rFonts w:ascii="맑은 고딕" w:hAnsi="맑은 고딕"/>
        </w:rPr>
        <w:t>하나의 정수 계획으로 풀지 않은 까닭</w:t>
      </w:r>
    </w:p>
    <w:p>
      <w:pPr>
        <w:jc w:val="both"/>
      </w:pPr>
      <w:r>
        <w:rPr>
          <w:i w:val="0"/>
          <w:sz w:val="20"/>
        </w:rPr>
        <w:t>규모와 온라인성 두 가지다. 작업 14만 6천 건에 리전 8개와 24시간 지평을 곱하면 이진 변수가 2,800만 개를 넘는다. 그리고 작업은 미리 주어지지 않고 시간에 따라 도착하므로, 배정 시점에 이후 도착할 작업을 알 수 없다. 전자는 풀 수 있더라도 후자 때문에 애초에 풀 문제가 정의되지 않는다.</w:t>
      </w:r>
    </w:p>
    <w:p>
      <w:pPr>
        <w:pStyle w:val="Heading2"/>
      </w:pPr>
      <w:r>
        <w:rPr>
          <w:rFonts w:ascii="맑은 고딕" w:hAnsi="맑은 고딕"/>
        </w:rPr>
        <w:t>실행 가능성 판정</w:t>
      </w:r>
    </w:p>
    <w:p>
      <w:pPr>
        <w:spacing w:after="80"/>
        <w:ind w:left="340"/>
      </w:pPr>
      <w:r>
        <w:rPr>
          <w:rFonts w:ascii="Menlo" w:hAnsi="Menlo"/>
          <w:sz w:val="17"/>
        </w:rPr>
        <w:t>feasible(j, t′)  ⟺  min a_{r(j)}(u) ≥ 1,   u ∈ [t′, t′+d_j)</w:t>
      </w:r>
    </w:p>
    <w:p>
      <w:pPr>
        <w:jc w:val="both"/>
      </w:pPr>
      <w:r>
        <w:rPr>
          <w:i w:val="0"/>
          <w:sz w:val="20"/>
        </w:rPr>
        <w:t>시작 시점에 자리가 있는 것으로는 부족하고 실행이 끝날 때까지 매 순간 자리가 있어야 한다. 이 구간 검사를 빠뜨리면 긴 작업이 중간에 상한을 넘기는 배치가 허용된다.</w:t>
      </w:r>
    </w:p>
    <w:p>
      <w:pPr>
        <w:pStyle w:val="Heading2"/>
      </w:pPr>
      <w:r>
        <w:rPr>
          <w:rFonts w:ascii="맑은 고딕" w:hAnsi="맑은 고딕"/>
        </w:rPr>
        <w:t>용량을 보지 않고 지나가는 경로</w:t>
      </w:r>
    </w:p>
    <w:p>
      <w:pPr>
        <w:jc w:val="both"/>
      </w:pPr>
      <w:r>
        <w:rPr>
          <w:i w:val="0"/>
          <w:sz w:val="20"/>
        </w:rPr>
        <w:t>Algorithm 1 의 4번 줄은 도착 시점에 ⌊D_j − d_j⌋ ≤ ⌊s_j⌋ 인 작업을 큐에 넣지 않고 바로 실행한다. 정수 슬롯 격자 위에 제출 시각의 슬롯 말고는 후보가 없다는 뜻이며, 지연 예산이 슬롯 길이인 1시간보다 짧은 작업(등급 3·4·5)이 대부분 여기 해당한다. 146,000건 가운데 86,292건(59.1%)이 이 경로로 간다.</w:t>
      </w:r>
    </w:p>
    <w:p>
      <w:pPr>
        <w:jc w:val="both"/>
      </w:pPr>
      <w:r>
        <w:rPr>
          <w:i w:val="0"/>
          <w:sz w:val="20"/>
        </w:rPr>
        <w:t>이 경로는 용량을 확인하지 않는다. 옮길 자리가 없는 작업을 막으면 마감을 넘기는 수밖에 없는데, 본 설계는 마감을 하드 제약으로 두기 때문이다. 상한 위반이 여기서 나온다 — 전체 227건을 경로별로 나누면 다음과 같다.</w:t>
      </w:r>
    </w:p>
    <w:p>
      <w:pPr>
        <w:spacing w:before="120" w:after="40"/>
        <w:jc w:val="center"/>
      </w:pPr>
      <w:r>
        <w:rPr>
          <w:b/>
          <w:sz w:val="17"/>
        </w:rPr>
        <w:t>표 S11. 상한 위반 227건의 경로별 분해</w:t>
      </w:r>
    </w:p>
    <w:tbl>
      <w:tblPr>
        <w:tblStyle w:val="TableGrid"/>
        <w:tblW w:type="auto" w:w="0"/>
        <w:tblLook w:firstColumn="1" w:firstRow="1" w:lastColumn="0" w:lastRow="0" w:noHBand="0" w:noVBand="1" w:val="04A0"/>
      </w:tblPr>
      <w:tblGrid>
        <w:gridCol w:w="3173"/>
        <w:gridCol w:w="3173"/>
        <w:gridCol w:w="3173"/>
      </w:tblGrid>
      <w:tr>
        <w:tc>
          <w:tcPr>
            <w:tcW w:type="dxa" w:w="3173"/>
          </w:tcPr>
          <w:p>
            <w:r/>
            <w:r>
              <w:rPr>
                <w:b/>
                <w:sz w:val="17"/>
              </w:rPr>
              <w:t>경로</w:t>
            </w:r>
          </w:p>
        </w:tc>
        <w:tc>
          <w:tcPr>
            <w:tcW w:type="dxa" w:w="3173"/>
          </w:tcPr>
          <w:p>
            <w:pPr>
              <w:jc w:val="right"/>
            </w:pPr>
            <w:r/>
            <w:r>
              <w:rPr>
                <w:b/>
                <w:sz w:val="17"/>
              </w:rPr>
              <w:t>위반 건수</w:t>
            </w:r>
          </w:p>
        </w:tc>
        <w:tc>
          <w:tcPr>
            <w:tcW w:type="dxa" w:w="3173"/>
          </w:tcPr>
          <w:p>
            <w:r/>
            <w:r>
              <w:rPr>
                <w:b/>
                <w:sz w:val="17"/>
              </w:rPr>
              <w:t>무엇인가</w:t>
            </w:r>
          </w:p>
        </w:tc>
      </w:tr>
      <w:tr>
        <w:tc>
          <w:tcPr>
            <w:tcW w:type="dxa" w:w="3173"/>
          </w:tcPr>
          <w:p>
            <w:r/>
            <w:r>
              <w:rPr>
                <w:b w:val="0"/>
                <w:sz w:val="17"/>
              </w:rPr>
              <w:t>마감 직전 강제 편입 (F)</w:t>
            </w:r>
          </w:p>
        </w:tc>
        <w:tc>
          <w:tcPr>
            <w:tcW w:type="dxa" w:w="3173"/>
          </w:tcPr>
          <w:p>
            <w:pPr>
              <w:jc w:val="right"/>
            </w:pPr>
            <w:r/>
            <w:r>
              <w:rPr>
                <w:b w:val="0"/>
                <w:sz w:val="17"/>
              </w:rPr>
              <w:t>106</w:t>
            </w:r>
          </w:p>
        </w:tc>
        <w:tc>
          <w:tcPr>
            <w:tcW w:type="dxa" w:w="3173"/>
          </w:tcPr>
          <w:p>
            <w:r/>
            <w:r>
              <w:rPr>
                <w:b w:val="0"/>
                <w:sz w:val="17"/>
              </w:rPr>
              <w:t>u_j(t) &lt; 1 이라 이번 슬롯이 마지막 기회</w:t>
            </w:r>
          </w:p>
        </w:tc>
      </w:tr>
      <w:tr>
        <w:tc>
          <w:tcPr>
            <w:tcW w:type="dxa" w:w="3173"/>
          </w:tcPr>
          <w:p>
            <w:r/>
            <w:r>
              <w:rPr>
                <w:b w:val="0"/>
                <w:sz w:val="17"/>
              </w:rPr>
              <w:t>즉시 실행 (4번 줄)</w:t>
            </w:r>
          </w:p>
        </w:tc>
        <w:tc>
          <w:tcPr>
            <w:tcW w:type="dxa" w:w="3173"/>
          </w:tcPr>
          <w:p>
            <w:pPr>
              <w:jc w:val="right"/>
            </w:pPr>
            <w:r/>
            <w:r>
              <w:rPr>
                <w:b w:val="0"/>
                <w:sz w:val="17"/>
              </w:rPr>
              <w:t>121</w:t>
            </w:r>
          </w:p>
        </w:tc>
        <w:tc>
          <w:tcPr>
            <w:tcW w:type="dxa" w:w="3173"/>
          </w:tcPr>
          <w:p>
            <w:r/>
            <w:r>
              <w:rPr>
                <w:b w:val="0"/>
                <w:sz w:val="17"/>
              </w:rPr>
              <w:t>정수 격자에 다른 후보가 없음</w:t>
            </w:r>
          </w:p>
        </w:tc>
      </w:tr>
      <w:tr>
        <w:tc>
          <w:tcPr>
            <w:tcW w:type="dxa" w:w="3173"/>
          </w:tcPr>
          <w:p>
            <w:r/>
            <w:r>
              <w:rPr>
                <w:b w:val="0"/>
                <w:sz w:val="17"/>
              </w:rPr>
              <w:t>용량 확인 후 배정 (P)</w:t>
            </w:r>
          </w:p>
        </w:tc>
        <w:tc>
          <w:tcPr>
            <w:tcW w:type="dxa" w:w="3173"/>
          </w:tcPr>
          <w:p>
            <w:pPr>
              <w:jc w:val="right"/>
            </w:pPr>
            <w:r/>
            <w:r>
              <w:rPr>
                <w:b w:val="0"/>
                <w:sz w:val="17"/>
              </w:rPr>
              <w:t>0</w:t>
            </w:r>
          </w:p>
        </w:tc>
        <w:tc>
          <w:tcPr>
            <w:tcW w:type="dxa" w:w="3173"/>
          </w:tcPr>
          <w:p>
            <w:r/>
            <w:r>
              <w:rPr>
                <w:b w:val="0"/>
                <w:sz w:val="17"/>
              </w:rPr>
              <w:t>상한에 도달한 슬롯을 미리 제외한 경로</w:t>
            </w:r>
          </w:p>
        </w:tc>
      </w:tr>
    </w:tbl>
    <w:p/>
    <w:p>
      <w:pPr>
        <w:jc w:val="both"/>
      </w:pPr>
      <w:r>
        <w:rPr>
          <w:i w:val="0"/>
          <w:sz w:val="20"/>
        </w:rPr>
        <w:t>용량을 확인하고 배정한 경로에서는 한 건도 나오지 않는다. 남은 227건은 알고리즘이 놓친 것이 아니라 마감을 지키기 위해 의도적으로 양보한 것이다.</w:t>
      </w:r>
    </w:p>
    <w:p>
      <w:pPr>
        <w:pStyle w:val="Heading2"/>
      </w:pPr>
      <w:r>
        <w:rPr>
          <w:rFonts w:ascii="맑은 고딕" w:hAnsi="맑은 고딕"/>
        </w:rPr>
        <w:t>우선순위를 순수 EDF 로 둔 까닭</w:t>
      </w:r>
    </w:p>
    <w:p>
      <w:pPr>
        <w:jc w:val="both"/>
      </w:pPr>
      <w:r>
        <w:rPr>
          <w:i w:val="0"/>
          <w:sz w:val="20"/>
        </w:rPr>
        <w:t>본편 3.4절이 순환 논리를 이유로 들었다. 여기서 한 가지를 덧붙인다 — 남은 여유로 정렬하면 여유가 0인 작업이 자동으로 1순위가 되므로 마감 임박을 따로 처리하는 예외 규칙이 필요 없다. 다만 마감 임박 집합 F_r(t) 는 후보 집합 P_r(t) 가 아니라 대기 집합 Q(t) 전체에서 고른다 — 그러지 않으면 지금이 최선이 아닌 마감 임박 작업이 후보에서 빠져 무한정 밀릴 수 있다.</w:t>
      </w:r>
    </w:p>
    <w:p>
      <w:pPr>
        <w:pStyle w:val="Heading2"/>
      </w:pPr>
      <w:r>
        <w:rPr>
          <w:rFonts w:ascii="맑은 고딕" w:hAnsi="맑은 고딕"/>
        </w:rPr>
        <w:t>종료와 마감에 대한 보장</w:t>
      </w:r>
    </w:p>
    <w:p>
      <w:pPr>
        <w:jc w:val="both"/>
      </w:pPr>
      <w:r>
        <w:rPr>
          <w:i w:val="0"/>
          <w:sz w:val="20"/>
        </w:rPr>
        <w:t>증명은 본편 3.4절에 있다. 여기서는 그 두 보장이 서로 독립이라는 점만 덧붙인다. 무한 연기가 없다는 보장은 u_j(t) 가 슬롯마다 1씩 줄어든다는 사실에서만 나오므로 용량이 아무리 빡빡해도 성립하고, 마감을 넘기지 않는다는 보장은 후보 집합의 정의에서 나오므로 알고리즘이 무엇을 고르든 성립한다. 용량을 조여 절감이 떨어지는 구간에서도 마감 위반이 0으로 유지되는 것이 이 독립성의 실측 확인이다.</w:t>
      </w:r>
    </w:p>
    <w:p>
      <w:pPr>
        <w:pStyle w:val="Heading2"/>
      </w:pPr>
      <w:r>
        <w:rPr>
          <w:rFonts w:ascii="맑은 고딕" w:hAnsi="맑은 고딕"/>
        </w:rPr>
        <w:t>공간 이동의 식 (6)~(9)</w:t>
      </w:r>
    </w:p>
    <w:p>
      <w:pPr>
        <w:spacing w:after="80"/>
        <w:ind w:left="340"/>
      </w:pPr>
      <w:r>
        <w:rPr>
          <w:rFonts w:ascii="Menlo" w:hAnsi="Menlo"/>
          <w:sz w:val="17"/>
        </w:rPr>
        <w:t>(6)  C̃_r = Ĉ_r / max_r' Ĉ_r',    ℓ̃_or = ℓ_or / 244</w:t>
      </w:r>
    </w:p>
    <w:p>
      <w:pPr>
        <w:jc w:val="both"/>
      </w:pPr>
      <w:r>
        <w:rPr>
          <w:i w:val="0"/>
          <w:sz w:val="20"/>
        </w:rPr>
        <w:t>탄소는 그 슬롯의 리전별 최댓값으로, 지연은 전 구간 고정값인 지연 행렬의 최댓값으로 나눈다. 탄소만 슬롯별로 정규화하는 것은 슬롯 간 격차의 절대 크기를 가중치 해석에서 떼어내기 위함이다 — 고정된 분모를 쓰면 전 리전이 함께 깨끗한 슬롯에서 탄소 항이 일률적으로 작아져 같은 가중치가 슬롯마다 다른 뜻을 갖는다.</w:t>
      </w:r>
    </w:p>
    <w:p>
      <w:pPr>
        <w:spacing w:after="80"/>
        <w:ind w:left="340"/>
      </w:pPr>
      <w:r>
        <w:rPr>
          <w:rFonts w:ascii="Menlo" w:hAnsi="Menlo"/>
          <w:sz w:val="17"/>
        </w:rPr>
        <w:t>(7)  min Σ_j Σ_r ( α·C̃_r + (1−α)·ℓ̃_{o_j r} )·x_jr + P_slack·Σ_j z_j</w:t>
      </w:r>
    </w:p>
    <w:p>
      <w:pPr>
        <w:spacing w:after="80"/>
        <w:ind w:left="340"/>
      </w:pPr>
      <w:r>
        <w:rPr>
          <w:rFonts w:ascii="Menlo" w:hAnsi="Menlo"/>
          <w:sz w:val="17"/>
        </w:rPr>
        <w:t>(8)  Σ_r x_jr + z_j = 1  ∀j,    Σ_j x_jr ≤ a_r  ∀r</w:t>
      </w:r>
    </w:p>
    <w:p>
      <w:pPr>
        <w:jc w:val="both"/>
      </w:pPr>
      <w:r>
        <w:rPr>
          <w:i w:val="0"/>
          <w:sz w:val="20"/>
        </w:rPr>
        <w:t>z_j 는 미배정 변수로, 어떤 리전에도 넣을 수 없을 때 문제가 실행 불가능해지는 것을 막는다. P_slack 에 어떤 배정 비용보다 큰 값을 주어 배정이 가능한 한 선택되지 않게 한다. 실측에서 미배정은 0건이었다. a_r 은 여유율을 적용한 용량에서 현재 실행 중인 작업 수를 뺀 값이다.</w:t>
      </w:r>
    </w:p>
    <w:p>
      <w:pPr>
        <w:spacing w:after="80"/>
        <w:ind w:left="340"/>
      </w:pPr>
      <w:r>
        <w:rPr>
          <w:rFonts w:ascii="Menlo" w:hAnsi="Menlo"/>
          <w:sz w:val="17"/>
        </w:rPr>
        <w:t>(9)  α* = arg min_α √( λ̃(α)² + μ̃(α)² )</w:t>
      </w:r>
    </w:p>
    <w:p>
      <w:pPr>
        <w:jc w:val="both"/>
      </w:pPr>
      <w:r>
        <w:rPr>
          <w:i w:val="0"/>
          <w:sz w:val="20"/>
        </w:rPr>
        <w:t>λ̃ 와 μ̃ 는 0에서 1로 정규화한 평균 지연과 예상 배출이다. 0부터 1까지 0.1 간격의 후보 11개에 대해 각각 배정 문제를 풀고, 두 축을 정규화한 뒤 원점에 유클리드 거리가 가장 가까운 점을 택한다. 미배정이 생기는 후보가 있으면 미배정 수가 최소인 후보들 안에서만 고르고, 거리가 같으면 작은 α 를 택한다.</w:t>
      </w:r>
    </w:p>
    <w:p>
      <w:pPr>
        <w:pStyle w:val="Heading2"/>
      </w:pPr>
      <w:r>
        <w:rPr>
          <w:rFonts w:ascii="맑은 고딕" w:hAnsi="맑은 고딕"/>
        </w:rPr>
        <w:t>시간 이동의 식 (10)~(11)</w:t>
      </w:r>
    </w:p>
    <w:p>
      <w:pPr>
        <w:spacing w:after="80"/>
        <w:ind w:left="340"/>
      </w:pPr>
      <w:r>
        <w:rPr>
          <w:rFonts w:ascii="Menlo" w:hAnsi="Menlo"/>
          <w:sz w:val="17"/>
        </w:rPr>
        <w:t>(10)  C̄(t) = (C(t) − C_min)/(C_max − C_min),   D̄(t) = (t − t_early)/(t_late − t_early)</w:t>
      </w:r>
    </w:p>
    <w:p>
      <w:pPr>
        <w:spacing w:after="80"/>
        <w:ind w:left="340"/>
      </w:pPr>
      <w:r>
        <w:rPr>
          <w:rFonts w:ascii="Menlo" w:hAnsi="Menlo"/>
          <w:sz w:val="17"/>
        </w:rPr>
        <w:t>(11)  score(t) = α(k)·C̄(t) + (1−α(k))·D̄(t),   α(k) = (6 − k)/5</w:t>
      </w:r>
    </w:p>
    <w:p>
      <w:pPr>
        <w:jc w:val="both"/>
      </w:pPr>
      <w:r>
        <w:rPr>
          <w:i w:val="0"/>
          <w:sz w:val="20"/>
        </w:rPr>
        <w:t>C̄(t) 는 t 부터 실행 시간 동안의 예측 탄소집약도 평균을 후보 집합 안에서 0–1 로 정규화한 값이고, D̄(t) 는 윈도우 안에서의 상대 위치다. 가중치는 작업이 신고한 지연 등급의 함수로 정의한다 — 등급 k 가 작을수록, 곧 여유가 클수록 탄소 항의 비중이 커진다. 최소 등급 k=1 에서 α=1.0 이 되어 지연 항이 사라지고 가장 깨끗한 슬롯이 선택되며, 최고 등급 k=5 에서 α=0.2 가 되어 거의 즉시 실행에 가까워진다.</w:t>
      </w:r>
    </w:p>
    <w:p>
      <w:pPr>
        <w:jc w:val="both"/>
      </w:pPr>
      <w:r>
        <w:rPr>
          <w:i w:val="0"/>
          <w:sz w:val="20"/>
        </w:rPr>
        <w:t>공간 이동과 달리 이 단계의 가중치를 무릎점으로 정하지 않는 것은 결정 단위가 다르기 때문이다. 공간 이동은 슬롯 안의 작업 집합을 한꺼번에 배정하므로 후보 가중치마다 곡선이 정의되지만, 시간 이동은 작업 하나의 실행 시각을 정하므로 그러한 곡선이 없다.</w:t>
      </w:r>
    </w:p>
    <w:p>
      <w:pPr>
        <w:pStyle w:val="Heading2"/>
      </w:pPr>
      <w:r>
        <w:rPr>
          <w:rFonts w:ascii="맑은 고딕" w:hAnsi="맑은 고딕"/>
        </w:rPr>
        <w:t>탄소 회계의 식 (15)</w:t>
      </w:r>
    </w:p>
    <w:p>
      <w:pPr>
        <w:spacing w:after="80"/>
        <w:ind w:left="340"/>
      </w:pPr>
      <w:r>
        <w:rPr>
          <w:rFonts w:ascii="Menlo" w:hAnsi="Menlo"/>
          <w:sz w:val="17"/>
        </w:rPr>
        <w:t>(15)  E_j = P · ∫_{τ_j}^{τ_j+d_j} C_{r(j)}(t) dt</w:t>
      </w:r>
    </w:p>
    <w:p>
      <w:pPr>
        <w:jc w:val="both"/>
      </w:pPr>
      <w:r>
        <w:rPr>
          <w:i w:val="0"/>
          <w:sz w:val="20"/>
        </w:rPr>
        <w:t>실측 계열이 1시간 해상도이므로 적분은 슬롯 단위로 근사한다. 실행 시작 시각이 속한 슬롯부터 세어, 실행 시간을 올림한 개수만큼의 슬롯에 대해 실측값을 산술평균한 뒤 실행 시간을 곱한다.</w:t>
      </w:r>
    </w:p>
    <w:p>
      <w:pPr>
        <w:spacing w:after="80"/>
        <w:ind w:left="340"/>
      </w:pPr>
      <w:r>
        <w:rPr>
          <w:rFonts w:ascii="Menlo" w:hAnsi="Menlo"/>
          <w:sz w:val="17"/>
        </w:rPr>
        <w:t>E_j  ≈  P · d_j · mean( C_r[ a … a+n-1 ] )</w:t>
      </w:r>
    </w:p>
    <w:p>
      <w:pPr>
        <w:spacing w:after="80"/>
        <w:ind w:left="340"/>
      </w:pPr>
      <w:r>
        <w:rPr>
          <w:rFonts w:ascii="Menlo" w:hAnsi="Menlo"/>
          <w:sz w:val="17"/>
        </w:rPr>
        <w:t xml:space="preserve">      a = floor(τ_j),   n = max(1, ceil(d_j))</w:t>
      </w:r>
    </w:p>
    <w:p>
      <w:pPr>
        <w:jc w:val="both"/>
      </w:pPr>
      <w:r>
        <w:rPr>
          <w:i w:val="0"/>
          <w:sz w:val="20"/>
        </w:rPr>
        <w:t>scheduler/timeshift.py 의 mean_carbon 과 scheduler/capacity.py 의 _Windows.actual_mean 이 이 계산이며, 표 2의 다섯 행 전부와 표 5의 선행 정책이 모두 이 함수를 통과한다. 기준 ①도 예외가 아니다 — 29,225.6 kg 은 로드밸런서의 baseline 산출물(적분 회계로 29,182.6 kg)이 아니라 scheduler 의 simple_lb_immediate 실행에서 나온 값이다. 소비 전력 P 는 작업당 1kW 상수로 가정한다 — 실측값이 아니라 상대 비교를 위한 단순화이며, 그 결과 배출량 차이는 전적으로 실행 리전과 실행 시각에서 온다. 결정은 예측값으로 하되 이 회계는 언제나 실측값으로 한다.</w:t>
      </w:r>
    </w:p>
    <w:p>
      <w:pPr>
        <w:pStyle w:val="Heading3"/>
      </w:pPr>
      <w:r>
        <w:rPr>
          <w:rFonts w:ascii="맑은 고딕" w:hAnsi="맑은 고딕"/>
        </w:rPr>
        <w:t>슬롯 근사가 결과를 바꾸지 않음을 확인한 표</w:t>
      </w:r>
    </w:p>
    <w:p>
      <w:pPr>
        <w:jc w:val="both"/>
      </w:pPr>
      <w:r>
        <w:rPr>
          <w:i w:val="0"/>
          <w:sz w:val="20"/>
        </w:rPr>
        <w:t>슬롯 평균은 근사이므로, 같은 스케줄을 겹침 길이로 가중한 정확 적분으로 다시 채점해 차이를 쟀다. 작업 146,000건 전수이며 스케줄은 손대지 않았다 — 회계만 바꾼 것이다. 개별 작업 단위로는 최대 40%대까지 벌어지지만 총합에서 상쇄된다.</w:t>
      </w:r>
    </w:p>
    <w:p>
      <w:pPr>
        <w:spacing w:before="120" w:after="40"/>
        <w:jc w:val="center"/>
      </w:pPr>
      <w:r>
        <w:rPr>
          <w:b/>
          <w:sz w:val="17"/>
        </w:rPr>
        <w:t>표 S12. 표 2의 세 단계를 두 회계로 다시 채점한 결과</w:t>
      </w:r>
    </w:p>
    <w:tbl>
      <w:tblPr>
        <w:tblStyle w:val="TableGrid"/>
        <w:tblW w:type="auto" w:w="0"/>
        <w:tblLook w:firstColumn="1" w:firstRow="1" w:lastColumn="0" w:lastRow="0" w:noHBand="0" w:noVBand="1" w:val="04A0"/>
      </w:tblPr>
      <w:tblGrid>
        <w:gridCol w:w="1904"/>
        <w:gridCol w:w="1904"/>
        <w:gridCol w:w="1904"/>
        <w:gridCol w:w="1904"/>
        <w:gridCol w:w="1904"/>
      </w:tblGrid>
      <w:tr>
        <w:tc>
          <w:tcPr>
            <w:tcW w:type="dxa" w:w="1904"/>
          </w:tcPr>
          <w:p>
            <w:r/>
            <w:r>
              <w:rPr>
                <w:b/>
                <w:sz w:val="17"/>
              </w:rPr>
              <w:t>단계</w:t>
            </w:r>
          </w:p>
        </w:tc>
        <w:tc>
          <w:tcPr>
            <w:tcW w:type="dxa" w:w="1904"/>
          </w:tcPr>
          <w:p>
            <w:pPr>
              <w:jc w:val="right"/>
            </w:pPr>
            <w:r/>
            <w:r>
              <w:rPr>
                <w:b/>
                <w:sz w:val="17"/>
              </w:rPr>
              <w:t>구현 (슬롯 평균)</w:t>
            </w:r>
          </w:p>
        </w:tc>
        <w:tc>
          <w:tcPr>
            <w:tcW w:type="dxa" w:w="1904"/>
          </w:tcPr>
          <w:p>
            <w:pPr>
              <w:jc w:val="right"/>
            </w:pPr>
            <w:r/>
            <w:r>
              <w:rPr>
                <w:b/>
                <w:sz w:val="17"/>
              </w:rPr>
              <w:t>정확 적분</w:t>
            </w:r>
          </w:p>
        </w:tc>
        <w:tc>
          <w:tcPr>
            <w:tcW w:type="dxa" w:w="1904"/>
          </w:tcPr>
          <w:p>
            <w:r/>
            <w:r>
              <w:rPr>
                <w:b/>
                <w:sz w:val="17"/>
              </w:rPr>
              <w:t>차</w:t>
            </w:r>
          </w:p>
        </w:tc>
        <w:tc>
          <w:tcPr>
            <w:tcW w:type="dxa" w:w="1904"/>
          </w:tcPr>
          <w:p>
            <w:r/>
            <w:r>
              <w:rPr>
                <w:b/>
                <w:sz w:val="17"/>
              </w:rPr>
              <w:t>절감률 (구현 / 정확)</w:t>
            </w:r>
          </w:p>
        </w:tc>
      </w:tr>
      <w:tr>
        <w:tc>
          <w:tcPr>
            <w:tcW w:type="dxa" w:w="1904"/>
          </w:tcPr>
          <w:p>
            <w:r/>
            <w:r>
              <w:rPr>
                <w:b w:val="0"/>
                <w:sz w:val="17"/>
              </w:rPr>
              <w:t>② 공간 이동만</w:t>
            </w:r>
          </w:p>
        </w:tc>
        <w:tc>
          <w:tcPr>
            <w:tcW w:type="dxa" w:w="1904"/>
          </w:tcPr>
          <w:p>
            <w:pPr>
              <w:jc w:val="right"/>
            </w:pPr>
            <w:r/>
            <w:r>
              <w:rPr>
                <w:b w:val="0"/>
                <w:sz w:val="17"/>
              </w:rPr>
              <w:t>12,609.8 kg</w:t>
            </w:r>
          </w:p>
        </w:tc>
        <w:tc>
          <w:tcPr>
            <w:tcW w:type="dxa" w:w="1904"/>
          </w:tcPr>
          <w:p>
            <w:pPr>
              <w:jc w:val="right"/>
            </w:pPr>
            <w:r/>
            <w:r>
              <w:rPr>
                <w:b w:val="0"/>
                <w:sz w:val="17"/>
              </w:rPr>
              <w:t>12,592.4 kg</w:t>
            </w:r>
          </w:p>
        </w:tc>
        <w:tc>
          <w:tcPr>
            <w:tcW w:type="dxa" w:w="1904"/>
          </w:tcPr>
          <w:p>
            <w:r/>
            <w:r>
              <w:rPr>
                <w:b w:val="0"/>
                <w:sz w:val="17"/>
              </w:rPr>
              <w:t>+0.138%</w:t>
            </w:r>
          </w:p>
        </w:tc>
        <w:tc>
          <w:tcPr>
            <w:tcW w:type="dxa" w:w="1904"/>
          </w:tcPr>
          <w:p>
            <w:r/>
            <w:r>
              <w:rPr>
                <w:b w:val="0"/>
                <w:sz w:val="17"/>
              </w:rPr>
              <w:t>56.85% / 56.91%</w:t>
            </w:r>
          </w:p>
        </w:tc>
      </w:tr>
      <w:tr>
        <w:tc>
          <w:tcPr>
            <w:tcW w:type="dxa" w:w="1904"/>
          </w:tcPr>
          <w:p>
            <w:r/>
            <w:r>
              <w:rPr>
                <w:b w:val="0"/>
                <w:sz w:val="17"/>
              </w:rPr>
              <w:t>③ + 시간 무제약</w:t>
            </w:r>
          </w:p>
        </w:tc>
        <w:tc>
          <w:tcPr>
            <w:tcW w:type="dxa" w:w="1904"/>
          </w:tcPr>
          <w:p>
            <w:pPr>
              <w:jc w:val="right"/>
            </w:pPr>
            <w:r/>
            <w:r>
              <w:rPr>
                <w:b w:val="0"/>
                <w:sz w:val="17"/>
              </w:rPr>
              <w:t>9,958.2 kg</w:t>
            </w:r>
          </w:p>
        </w:tc>
        <w:tc>
          <w:tcPr>
            <w:tcW w:type="dxa" w:w="1904"/>
          </w:tcPr>
          <w:p>
            <w:pPr>
              <w:jc w:val="right"/>
            </w:pPr>
            <w:r/>
            <w:r>
              <w:rPr>
                <w:b w:val="0"/>
                <w:sz w:val="17"/>
              </w:rPr>
              <w:t>9,989.7 kg</w:t>
            </w:r>
          </w:p>
        </w:tc>
        <w:tc>
          <w:tcPr>
            <w:tcW w:type="dxa" w:w="1904"/>
          </w:tcPr>
          <w:p>
            <w:r/>
            <w:r>
              <w:rPr>
                <w:b w:val="0"/>
                <w:sz w:val="17"/>
              </w:rPr>
              <w:t>−0.315%</w:t>
            </w:r>
          </w:p>
        </w:tc>
        <w:tc>
          <w:tcPr>
            <w:tcW w:type="dxa" w:w="1904"/>
          </w:tcPr>
          <w:p>
            <w:r/>
            <w:r>
              <w:rPr>
                <w:b w:val="0"/>
                <w:sz w:val="17"/>
              </w:rPr>
              <w:t>65.93% / 65.82%</w:t>
            </w:r>
          </w:p>
        </w:tc>
      </w:tr>
      <w:tr>
        <w:tc>
          <w:tcPr>
            <w:tcW w:type="dxa" w:w="1904"/>
          </w:tcPr>
          <w:p>
            <w:r/>
            <w:r>
              <w:rPr>
                <w:b w:val="0"/>
                <w:sz w:val="17"/>
              </w:rPr>
              <w:t>④ + 시간 용량 인지</w:t>
            </w:r>
          </w:p>
        </w:tc>
        <w:tc>
          <w:tcPr>
            <w:tcW w:type="dxa" w:w="1904"/>
          </w:tcPr>
          <w:p>
            <w:pPr>
              <w:jc w:val="right"/>
            </w:pPr>
            <w:r/>
            <w:r>
              <w:rPr>
                <w:b w:val="0"/>
                <w:sz w:val="17"/>
              </w:rPr>
              <w:t>10,805.0 kg</w:t>
            </w:r>
          </w:p>
        </w:tc>
        <w:tc>
          <w:tcPr>
            <w:tcW w:type="dxa" w:w="1904"/>
          </w:tcPr>
          <w:p>
            <w:pPr>
              <w:jc w:val="right"/>
            </w:pPr>
            <w:r/>
            <w:r>
              <w:rPr>
                <w:b w:val="0"/>
                <w:sz w:val="17"/>
              </w:rPr>
              <w:t>10,805.1 kg</w:t>
            </w:r>
          </w:p>
        </w:tc>
        <w:tc>
          <w:tcPr>
            <w:tcW w:type="dxa" w:w="1904"/>
          </w:tcPr>
          <w:p>
            <w:r/>
            <w:r>
              <w:rPr>
                <w:b w:val="0"/>
                <w:sz w:val="17"/>
              </w:rPr>
              <w:t>−0.001%</w:t>
            </w:r>
          </w:p>
        </w:tc>
        <w:tc>
          <w:tcPr>
            <w:tcW w:type="dxa" w:w="1904"/>
          </w:tcPr>
          <w:p>
            <w:r/>
            <w:r>
              <w:rPr>
                <w:b w:val="0"/>
                <w:sz w:val="17"/>
              </w:rPr>
              <w:t>63.03% / 63.03%</w:t>
            </w:r>
          </w:p>
        </w:tc>
      </w:tr>
    </w:tbl>
    <w:p/>
    <w:p>
      <w:pPr>
        <w:jc w:val="both"/>
      </w:pPr>
      <w:r>
        <w:rPr>
          <w:i w:val="0"/>
          <w:sz w:val="20"/>
        </w:rPr>
        <w:t>본 연구의 헤드라인인 ④는 두 회계에서 같은 값이다. 절감률은 세 행 모두 0.11%p 안에서 일치한다. 재현 스크립트는 저장소의 reproduce.py 와 같은 자료를 읽으며, 위 표를 만든 코드도 함께 공개한다.</w:t>
      </w:r>
    </w:p>
    <w:p>
      <w:pPr>
        <w:jc w:val="both"/>
      </w:pPr>
      <w:r>
        <w:rPr>
          <w:i w:val="0"/>
          <w:sz w:val="20"/>
        </w:rPr>
        <w:t>본편 표 5의 선행 정책도 같은 방식으로 다시 채점하였다. 이쪽은 구현이 남이 설계한 정책이므로, 회계가 한쪽에 유리하게 작동하지 않는지 따로 확인할 필요가 있었다.</w:t>
      </w:r>
    </w:p>
    <w:p>
      <w:pPr>
        <w:spacing w:before="120" w:after="40"/>
        <w:jc w:val="center"/>
      </w:pPr>
      <w:r>
        <w:rPr>
          <w:b/>
          <w:sz w:val="17"/>
        </w:rPr>
        <w:t>표 S13. 표 5의 선행 정책을 두 회계로 다시 채점한 결과</w:t>
      </w:r>
    </w:p>
    <w:tbl>
      <w:tblPr>
        <w:tblStyle w:val="TableGrid"/>
        <w:tblW w:type="auto" w:w="0"/>
        <w:tblLook w:firstColumn="1" w:firstRow="1" w:lastColumn="0" w:lastRow="0" w:noHBand="0" w:noVBand="1" w:val="04A0"/>
      </w:tblPr>
      <w:tblGrid>
        <w:gridCol w:w="1904"/>
        <w:gridCol w:w="1904"/>
        <w:gridCol w:w="1904"/>
        <w:gridCol w:w="1904"/>
        <w:gridCol w:w="1904"/>
      </w:tblGrid>
      <w:tr>
        <w:tc>
          <w:tcPr>
            <w:tcW w:type="dxa" w:w="1904"/>
          </w:tcPr>
          <w:p>
            <w:r/>
            <w:r>
              <w:rPr>
                <w:b/>
                <w:sz w:val="17"/>
              </w:rPr>
              <w:t>정책</w:t>
            </w:r>
          </w:p>
        </w:tc>
        <w:tc>
          <w:tcPr>
            <w:tcW w:type="dxa" w:w="1904"/>
          </w:tcPr>
          <w:p>
            <w:pPr>
              <w:jc w:val="right"/>
            </w:pPr>
            <w:r/>
            <w:r>
              <w:rPr>
                <w:b/>
                <w:sz w:val="17"/>
              </w:rPr>
              <w:t>구현 (슬롯 평균)</w:t>
            </w:r>
          </w:p>
        </w:tc>
        <w:tc>
          <w:tcPr>
            <w:tcW w:type="dxa" w:w="1904"/>
          </w:tcPr>
          <w:p>
            <w:pPr>
              <w:jc w:val="right"/>
            </w:pPr>
            <w:r/>
            <w:r>
              <w:rPr>
                <w:b/>
                <w:sz w:val="17"/>
              </w:rPr>
              <w:t>정확 적분</w:t>
            </w:r>
          </w:p>
        </w:tc>
        <w:tc>
          <w:tcPr>
            <w:tcW w:type="dxa" w:w="1904"/>
          </w:tcPr>
          <w:p>
            <w:r/>
            <w:r>
              <w:rPr>
                <w:b/>
                <w:sz w:val="17"/>
              </w:rPr>
              <w:t>배출량 차</w:t>
            </w:r>
          </w:p>
        </w:tc>
        <w:tc>
          <w:tcPr>
            <w:tcW w:type="dxa" w:w="1904"/>
          </w:tcPr>
          <w:p>
            <w:r/>
            <w:r>
              <w:rPr>
                <w:b/>
                <w:sz w:val="17"/>
              </w:rPr>
              <w:t>절감률 차</w:t>
            </w:r>
          </w:p>
        </w:tc>
      </w:tr>
      <w:tr>
        <w:tc>
          <w:tcPr>
            <w:tcW w:type="dxa" w:w="1904"/>
          </w:tcPr>
          <w:p>
            <w:r/>
            <w:r>
              <w:rPr>
                <w:b w:val="0"/>
                <w:sz w:val="17"/>
              </w:rPr>
              <w:t>CASPER (CAP, α=0.9)</w:t>
            </w:r>
          </w:p>
        </w:tc>
        <w:tc>
          <w:tcPr>
            <w:tcW w:type="dxa" w:w="1904"/>
          </w:tcPr>
          <w:p>
            <w:pPr>
              <w:jc w:val="right"/>
            </w:pPr>
            <w:r/>
            <w:r>
              <w:rPr>
                <w:b w:val="0"/>
                <w:sz w:val="17"/>
              </w:rPr>
              <w:t>1,379.1 kg</w:t>
            </w:r>
          </w:p>
        </w:tc>
        <w:tc>
          <w:tcPr>
            <w:tcW w:type="dxa" w:w="1904"/>
          </w:tcPr>
          <w:p>
            <w:pPr>
              <w:jc w:val="right"/>
            </w:pPr>
            <w:r/>
            <w:r>
              <w:rPr>
                <w:b w:val="0"/>
                <w:sz w:val="17"/>
              </w:rPr>
              <w:t>1,380.7 kg</w:t>
            </w:r>
          </w:p>
        </w:tc>
        <w:tc>
          <w:tcPr>
            <w:tcW w:type="dxa" w:w="1904"/>
          </w:tcPr>
          <w:p>
            <w:r/>
            <w:r>
              <w:rPr>
                <w:b w:val="0"/>
                <w:sz w:val="17"/>
              </w:rPr>
              <w:t>+0.117%</w:t>
            </w:r>
          </w:p>
        </w:tc>
        <w:tc>
          <w:tcPr>
            <w:tcW w:type="dxa" w:w="1904"/>
          </w:tcPr>
          <w:p>
            <w:r/>
            <w:r>
              <w:rPr>
                <w:b w:val="0"/>
                <w:sz w:val="17"/>
              </w:rPr>
              <w:t>−0.006%p</w:t>
            </w:r>
          </w:p>
        </w:tc>
      </w:tr>
      <w:tr>
        <w:tc>
          <w:tcPr>
            <w:tcW w:type="dxa" w:w="1904"/>
          </w:tcPr>
          <w:p>
            <w:r/>
            <w:r>
              <w:rPr>
                <w:b w:val="0"/>
                <w:sz w:val="17"/>
              </w:rPr>
              <w:t>CICS (λp/λe = 0)</w:t>
            </w:r>
          </w:p>
        </w:tc>
        <w:tc>
          <w:tcPr>
            <w:tcW w:type="dxa" w:w="1904"/>
          </w:tcPr>
          <w:p>
            <w:pPr>
              <w:jc w:val="right"/>
            </w:pPr>
            <w:r/>
            <w:r>
              <w:rPr>
                <w:b w:val="0"/>
                <w:sz w:val="17"/>
              </w:rPr>
              <w:t>25,203.4 kg</w:t>
            </w:r>
          </w:p>
        </w:tc>
        <w:tc>
          <w:tcPr>
            <w:tcW w:type="dxa" w:w="1904"/>
          </w:tcPr>
          <w:p>
            <w:pPr>
              <w:jc w:val="right"/>
            </w:pPr>
            <w:r/>
            <w:r>
              <w:rPr>
                <w:b w:val="0"/>
                <w:sz w:val="17"/>
              </w:rPr>
              <w:t>25,276.8 kg</w:t>
            </w:r>
          </w:p>
        </w:tc>
        <w:tc>
          <w:tcPr>
            <w:tcW w:type="dxa" w:w="1904"/>
          </w:tcPr>
          <w:p>
            <w:r/>
            <w:r>
              <w:rPr>
                <w:b w:val="0"/>
                <w:sz w:val="17"/>
              </w:rPr>
              <w:t>+0.292%</w:t>
            </w:r>
          </w:p>
        </w:tc>
        <w:tc>
          <w:tcPr>
            <w:tcW w:type="dxa" w:w="1904"/>
          </w:tcPr>
          <w:p>
            <w:r/>
            <w:r>
              <w:rPr>
                <w:b w:val="0"/>
                <w:sz w:val="17"/>
              </w:rPr>
              <w:t>−0.251%p</w:t>
            </w:r>
          </w:p>
        </w:tc>
      </w:tr>
      <w:tr>
        <w:tc>
          <w:tcPr>
            <w:tcW w:type="dxa" w:w="1904"/>
          </w:tcPr>
          <w:p>
            <w:r/>
            <w:r>
              <w:rPr>
                <w:b w:val="0"/>
                <w:sz w:val="17"/>
              </w:rPr>
              <w:t>Sukprasert 시간 단독</w:t>
            </w:r>
          </w:p>
        </w:tc>
        <w:tc>
          <w:tcPr>
            <w:tcW w:type="dxa" w:w="1904"/>
          </w:tcPr>
          <w:p>
            <w:pPr>
              <w:jc w:val="right"/>
            </w:pPr>
            <w:r/>
            <w:r>
              <w:rPr>
                <w:b w:val="0"/>
                <w:sz w:val="17"/>
              </w:rPr>
              <w:t>9,583.6 kg</w:t>
            </w:r>
          </w:p>
        </w:tc>
        <w:tc>
          <w:tcPr>
            <w:tcW w:type="dxa" w:w="1904"/>
          </w:tcPr>
          <w:p>
            <w:pPr>
              <w:jc w:val="right"/>
            </w:pPr>
            <w:r/>
            <w:r>
              <w:rPr>
                <w:b w:val="0"/>
                <w:sz w:val="17"/>
              </w:rPr>
              <w:t>9,571.8 kg</w:t>
            </w:r>
          </w:p>
        </w:tc>
        <w:tc>
          <w:tcPr>
            <w:tcW w:type="dxa" w:w="1904"/>
          </w:tcPr>
          <w:p>
            <w:r/>
            <w:r>
              <w:rPr>
                <w:b w:val="0"/>
                <w:sz w:val="17"/>
              </w:rPr>
              <w:t>−0.124%</w:t>
            </w:r>
          </w:p>
        </w:tc>
        <w:tc>
          <w:tcPr>
            <w:tcW w:type="dxa" w:w="1904"/>
          </w:tcPr>
          <w:p>
            <w:r/>
            <w:r>
              <w:rPr>
                <w:b w:val="0"/>
                <w:sz w:val="17"/>
              </w:rPr>
              <w:t>+0.041%p</w:t>
            </w:r>
          </w:p>
        </w:tc>
      </w:tr>
      <w:tr>
        <w:tc>
          <w:tcPr>
            <w:tcW w:type="dxa" w:w="1904"/>
          </w:tcPr>
          <w:p>
            <w:r/>
            <w:r>
              <w:rPr>
                <w:b w:val="0"/>
                <w:sz w:val="17"/>
              </w:rPr>
              <w:t>Sukprasert 공간+시간</w:t>
            </w:r>
          </w:p>
        </w:tc>
        <w:tc>
          <w:tcPr>
            <w:tcW w:type="dxa" w:w="1904"/>
          </w:tcPr>
          <w:p>
            <w:pPr>
              <w:jc w:val="right"/>
            </w:pPr>
            <w:r/>
            <w:r>
              <w:rPr>
                <w:b w:val="0"/>
                <w:sz w:val="17"/>
              </w:rPr>
              <w:t>990.8 kg</w:t>
            </w:r>
          </w:p>
        </w:tc>
        <w:tc>
          <w:tcPr>
            <w:tcW w:type="dxa" w:w="1904"/>
          </w:tcPr>
          <w:p>
            <w:pPr>
              <w:jc w:val="right"/>
            </w:pPr>
            <w:r/>
            <w:r>
              <w:rPr>
                <w:b w:val="0"/>
                <w:sz w:val="17"/>
              </w:rPr>
              <w:t>990.6 kg</w:t>
            </w:r>
          </w:p>
        </w:tc>
        <w:tc>
          <w:tcPr>
            <w:tcW w:type="dxa" w:w="1904"/>
          </w:tcPr>
          <w:p>
            <w:r/>
            <w:r>
              <w:rPr>
                <w:b w:val="0"/>
                <w:sz w:val="17"/>
              </w:rPr>
              <w:t>−0.025%</w:t>
            </w:r>
          </w:p>
        </w:tc>
        <w:tc>
          <w:tcPr>
            <w:tcW w:type="dxa" w:w="1904"/>
          </w:tcPr>
          <w:p>
            <w:r/>
            <w:r>
              <w:rPr>
                <w:b w:val="0"/>
                <w:sz w:val="17"/>
              </w:rPr>
              <w:t>+0.001%p</w:t>
            </w:r>
          </w:p>
        </w:tc>
      </w:tr>
      <w:tr>
        <w:tc>
          <w:tcPr>
            <w:tcW w:type="dxa" w:w="1904"/>
          </w:tcPr>
          <w:p>
            <w:r/>
            <w:r>
              <w:rPr>
                <w:b w:val="0"/>
                <w:sz w:val="17"/>
              </w:rPr>
              <w:t>Caspian (분수)</w:t>
            </w:r>
          </w:p>
        </w:tc>
        <w:tc>
          <w:tcPr>
            <w:tcW w:type="dxa" w:w="1904"/>
          </w:tcPr>
          <w:p>
            <w:pPr>
              <w:jc w:val="right"/>
            </w:pPr>
            <w:r/>
            <w:r>
              <w:rPr>
                <w:b w:val="0"/>
                <w:sz w:val="17"/>
              </w:rPr>
              <w:t>20,308.4 kg</w:t>
            </w:r>
          </w:p>
        </w:tc>
        <w:tc>
          <w:tcPr>
            <w:tcW w:type="dxa" w:w="1904"/>
          </w:tcPr>
          <w:p>
            <w:pPr>
              <w:jc w:val="right"/>
            </w:pPr>
            <w:r/>
            <w:r>
              <w:rPr>
                <w:b w:val="0"/>
                <w:sz w:val="17"/>
              </w:rPr>
              <w:t>20,335.4 kg</w:t>
            </w:r>
          </w:p>
        </w:tc>
        <w:tc>
          <w:tcPr>
            <w:tcW w:type="dxa" w:w="1904"/>
          </w:tcPr>
          <w:p>
            <w:r/>
            <w:r>
              <w:rPr>
                <w:b w:val="0"/>
                <w:sz w:val="17"/>
              </w:rPr>
              <w:t>+0.133%</w:t>
            </w:r>
          </w:p>
        </w:tc>
        <w:tc>
          <w:tcPr>
            <w:tcW w:type="dxa" w:w="1904"/>
          </w:tcPr>
          <w:p>
            <w:r/>
            <w:r>
              <w:rPr>
                <w:b w:val="0"/>
                <w:sz w:val="17"/>
              </w:rPr>
              <w:t>−0.092%p</w:t>
            </w:r>
          </w:p>
        </w:tc>
      </w:tr>
    </w:tbl>
    <w:p/>
    <w:p>
      <w:pPr>
        <w:jc w:val="both"/>
      </w:pPr>
      <w:r>
        <w:rPr>
          <w:i w:val="0"/>
          <w:sz w:val="20"/>
        </w:rPr>
        <w:t>다섯 정책 모두 0.3% 안이며 순위도 바뀌지 않는다. 차이의 크기가 갈리는 방향은 리전의 성질로 설명된다. 슬롯 평균과 정확 적분의 차이는 실행 구간 안에서 곡선이 얼마나 움직였는지에만 좌우되는데, 8개 리전의 시간당 변동폭(|ΔC| 의 연평균)은 프랑스가 1.4 gCO₂/kWh 로 나머지 일곱(4.0~16.3)의 3분의 1에서 12분의 1이다 — 원자력 기저부하라 곡선이 거의 움직이지 않는다. 차이가 가장 작은 정책(−0.025%)이 거의 모든 작업을 프랑스에 모으는 Sukprasert 의 공간+시간 결합인 것은 그 때문이다. 반대로 차이가 가장 큰 CICS(+0.292%)는 리전을 고정한 채 하루 안에서 시각만 옮기므로, 변동이 큰 리전의 곡선 위를 계속 오간다. 용량 위반 건수와 마감 위반 건수는 회계와 무관하므로 두 방식에서 완전히 같다.</w:t>
      </w:r>
    </w:p>
    <w:p>
      <w:pPr>
        <w:pStyle w:val="Heading2"/>
      </w:pPr>
      <w:r>
        <w:rPr>
          <w:rFonts w:ascii="맑은 고딕" w:hAnsi="맑은 고딕"/>
        </w:rPr>
        <w:t>사후 용량 강제 대조군의 절차</w:t>
      </w:r>
    </w:p>
    <w:p>
      <w:pPr>
        <w:jc w:val="both"/>
      </w:pPr>
      <w:r>
        <w:rPr>
          <w:i w:val="0"/>
          <w:sz w:val="20"/>
        </w:rPr>
        <w:t>본편 4.3절의 대조군(표 2의 ③′, 표 4의 리전별 분해)은 배치 시점에 용량을 전혀 모르는 스케줄에서 출발해, 끝난 뒤에 상한 초과를 강제로 없앤다. 일부러 단순하게 둔 절차이며, 용량을 아는 스케줄러보다 항상 같거나 나쁘다 — 그래서 그 결과가 ‘아무것도 하지 않았을 때 감수할 손해’의 하한이 된다.</w:t>
      </w:r>
    </w:p>
    <w:p>
      <w:pPr>
        <w:jc w:val="both"/>
      </w:pPr>
      <w:r>
        <w:rPr>
          <w:i w:val="0"/>
          <w:sz w:val="20"/>
        </w:rPr>
        <w:t>리전마다 독립적으로 다음을 초과가 사라질 때까지 반복한다.</w:t>
      </w:r>
    </w:p>
    <w:p>
      <w:pPr>
        <w:spacing w:after="80"/>
        <w:ind w:left="340"/>
      </w:pPr>
      <w:r>
        <w:rPr>
          <w:rFonts w:ascii="Menlo" w:hAnsi="Menlo"/>
          <w:sz w:val="17"/>
        </w:rPr>
        <w:t>1. 그 리전 작업들의 현재 (시작, 종료)로 연속 시각 스윕을 돌려</w:t>
      </w:r>
    </w:p>
    <w:p>
      <w:pPr>
        <w:spacing w:after="80"/>
        <w:ind w:left="340"/>
      </w:pPr>
      <w:r>
        <w:rPr>
          <w:rFonts w:ascii="Menlo" w:hAnsi="Menlo"/>
          <w:sz w:val="17"/>
        </w:rPr>
        <w:t xml:space="preserve">   동시 실행 수가 K_r 을 넘는 구간을 찾는다.</w:t>
      </w:r>
    </w:p>
    <w:p>
      <w:pPr>
        <w:spacing w:after="80"/>
        <w:ind w:left="340"/>
      </w:pPr>
      <w:r>
        <w:rPr>
          <w:rFonts w:ascii="Menlo" w:hAnsi="Menlo"/>
          <w:sz w:val="17"/>
        </w:rPr>
        <w:t>2. 아직 되돌리지 않은 작업 가운데 그 구간과 실행 구간이 겹치는</w:t>
      </w:r>
    </w:p>
    <w:p>
      <w:pPr>
        <w:spacing w:after="80"/>
        <w:ind w:left="340"/>
      </w:pPr>
      <w:r>
        <w:rPr>
          <w:rFonts w:ascii="Menlo" w:hAnsi="Menlo"/>
          <w:sz w:val="17"/>
        </w:rPr>
        <w:t xml:space="preserve">   것을 전부 즉시 실행(τ_j ← s_j)으로 되돌린다.</w:t>
      </w:r>
    </w:p>
    <w:p>
      <w:pPr>
        <w:spacing w:after="80"/>
        <w:ind w:left="340"/>
      </w:pPr>
      <w:r>
        <w:rPr>
          <w:rFonts w:ascii="Menlo" w:hAnsi="Menlo"/>
          <w:sz w:val="17"/>
        </w:rPr>
        <w:t>3. 새로 되돌릴 것이 없으면 멈춘다.</w:t>
      </w:r>
    </w:p>
    <w:p>
      <w:pPr>
        <w:jc w:val="both"/>
      </w:pPr>
      <w:r>
        <w:rPr>
          <w:i w:val="0"/>
          <w:sz w:val="20"/>
        </w:rPr>
        <w:t>되돌린 작업을 다시 배치하지는 않는다. 그 자리에 고정하므로 다른 시각으로 옮겨 얻을 수 있었을 이득은 포기한다 — 대조군을 일부러 단순하게 둔 지점이 여기다. 1년 전체에서 31,250건(21.4%)이 되돌려지며, 프랑스는 5회, 캘리포니아는 3회 만에 수렴한다. 배출량은 되돌린 작업만 새 시각으로 다시 계산하고 나머지는 그대로 둔다 — 회계는 앞 절의 슬롯 평균과 같은 함수다.</w:t>
      </w:r>
    </w:p>
    <w:p>
      <w:pPr>
        <w:pStyle w:val="Heading2"/>
      </w:pPr>
      <w:r>
        <w:rPr>
          <w:rFonts w:ascii="맑은 고딕" w:hAnsi="맑은 고딕"/>
        </w:rPr>
        <w:t>실행 시간</w:t>
      </w:r>
    </w:p>
    <w:p>
      <w:pPr>
        <w:jc w:val="both"/>
      </w:pPr>
      <w:r>
        <w:rPr>
          <w:i w:val="0"/>
          <w:sz w:val="20"/>
        </w:rPr>
        <w:t>공간 이동의 무릎점 탐색(슬롯당 α 후보 11개에 대한 정수 계획)이 슬롯당 평균 174 ms, 최악 890 ms 이며 1년 전체로는 약 25분이 걸린다. 시간 이동의 롤링 재평가는 이보다 훨씬 가벼워 146,000건 전체가 약 7.6초에 끝난다(단일 실행, 자료 적재 제외).</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