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4</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4</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4</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4</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지연 등급 분포를 바꾸어 재현한 결과</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A.10</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S15). 본편의 번호와 섞이지 않는다. 본편의 표·그림·식을 가리킬 때는 “본편 표 4”처럼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autoSpaceDE w:val="0"/>
        <w:autoSpaceDN w:val="0"/>
        <w:pStyle w:val="Heading2"/>
      </w:pPr>
      <w:r>
        <w:rPr>
          <w:rFonts w:ascii="맑은 고딕" w:hAnsi="맑은 고딕"/>
        </w:rPr>
        <w:t>본편 표 4에 실은 값</w:t>
      </w:r>
    </w:p>
    <w:p>
      <w:pPr>
        <w:autoSpaceDE w:val="0"/>
        <w:autoSpaceDN w:val="0"/>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지표</w:t>
            </w:r>
          </w:p>
        </w:tc>
        <w:tc>
          <w:tcPr>
            <w:tcW w:type="dxa" w:w="3173"/>
          </w:tcPr>
          <w:p>
            <w:pPr>
              <w:autoSpaceDE w:val="0"/>
              <w:autoSpaceDN w:val="0"/>
              <w:jc w:val="right"/>
            </w:pPr>
            <w:r/>
            <w:r>
              <w:rPr>
                <w:b/>
                <w:sz w:val="17"/>
              </w:rPr>
              <w:t>올림 (A.5 대조)</w:t>
            </w:r>
          </w:p>
        </w:tc>
        <w:tc>
          <w:tcPr>
            <w:tcW w:type="dxa" w:w="3173"/>
          </w:tcPr>
          <w:p>
            <w:pPr>
              <w:autoSpaceDE w:val="0"/>
              <w:autoSpaceDN w:val="0"/>
              <w:jc w:val="right"/>
            </w:pPr>
            <w:r/>
            <w:r>
              <w:rPr>
                <w:b/>
                <w:sz w:val="17"/>
              </w:rPr>
              <w:t>분수 (본편 표 4)</w:t>
            </w:r>
          </w:p>
        </w:tc>
      </w:tr>
      <w:tr>
        <w:tc>
          <w:tcPr>
            <w:tcW w:type="dxa" w:w="3173"/>
          </w:tcPr>
          <w:p>
            <w:pPr>
              <w:autoSpaceDE w:val="0"/>
              <w:autoSpaceDN w:val="0"/>
            </w:pPr>
            <w:r/>
            <w:r>
              <w:rPr>
                <w:b w:val="0"/>
                <w:sz w:val="17"/>
              </w:rPr>
              <w:t>총배출</w:t>
            </w:r>
          </w:p>
        </w:tc>
        <w:tc>
          <w:tcPr>
            <w:tcW w:type="dxa" w:w="3173"/>
          </w:tcPr>
          <w:p>
            <w:pPr>
              <w:autoSpaceDE w:val="0"/>
              <w:autoSpaceDN w:val="0"/>
              <w:jc w:val="right"/>
            </w:pPr>
            <w:r/>
            <w:r>
              <w:rPr>
                <w:b w:val="0"/>
                <w:sz w:val="17"/>
              </w:rPr>
              <w:t>25,145.9 kg</w:t>
            </w:r>
          </w:p>
        </w:tc>
        <w:tc>
          <w:tcPr>
            <w:tcW w:type="dxa" w:w="3173"/>
          </w:tcPr>
          <w:p>
            <w:pPr>
              <w:autoSpaceDE w:val="0"/>
              <w:autoSpaceDN w:val="0"/>
              <w:jc w:val="right"/>
            </w:pPr>
            <w:r/>
            <w:r>
              <w:rPr>
                <w:b w:val="0"/>
                <w:sz w:val="17"/>
              </w:rPr>
              <w:t>20,308.4 kg</w:t>
            </w:r>
          </w:p>
        </w:tc>
      </w:tr>
      <w:tr>
        <w:tc>
          <w:tcPr>
            <w:tcW w:type="dxa" w:w="3173"/>
          </w:tcPr>
          <w:p>
            <w:pPr>
              <w:autoSpaceDE w:val="0"/>
              <w:autoSpaceDN w:val="0"/>
            </w:pPr>
            <w:r/>
            <w:r>
              <w:rPr>
                <w:b w:val="0"/>
                <w:sz w:val="17"/>
              </w:rPr>
              <w:t>절감률</w:t>
            </w:r>
          </w:p>
        </w:tc>
        <w:tc>
          <w:tcPr>
            <w:tcW w:type="dxa" w:w="3173"/>
          </w:tcPr>
          <w:p>
            <w:pPr>
              <w:autoSpaceDE w:val="0"/>
              <w:autoSpaceDN w:val="0"/>
              <w:jc w:val="right"/>
            </w:pPr>
            <w:r/>
            <w:r>
              <w:rPr>
                <w:b w:val="0"/>
                <w:sz w:val="17"/>
              </w:rPr>
              <w:t>13.96%</w:t>
            </w:r>
          </w:p>
        </w:tc>
        <w:tc>
          <w:tcPr>
            <w:tcW w:type="dxa" w:w="3173"/>
          </w:tcPr>
          <w:p>
            <w:pPr>
              <w:autoSpaceDE w:val="0"/>
              <w:autoSpaceDN w:val="0"/>
              <w:jc w:val="right"/>
            </w:pPr>
            <w:r/>
            <w:r>
              <w:rPr>
                <w:b w:val="0"/>
                <w:sz w:val="17"/>
              </w:rPr>
              <w:t>30.51%</w:t>
            </w:r>
          </w:p>
        </w:tc>
      </w:tr>
      <w:tr>
        <w:tc>
          <w:tcPr>
            <w:tcW w:type="dxa" w:w="3173"/>
          </w:tcPr>
          <w:p>
            <w:pPr>
              <w:autoSpaceDE w:val="0"/>
              <w:autoSpaceDN w:val="0"/>
            </w:pPr>
            <w:r/>
            <w:r>
              <w:rPr>
                <w:b w:val="0"/>
                <w:sz w:val="17"/>
              </w:rPr>
              <w:t>평균 지연</w:t>
            </w:r>
          </w:p>
        </w:tc>
        <w:tc>
          <w:tcPr>
            <w:tcW w:type="dxa" w:w="3173"/>
          </w:tcPr>
          <w:p>
            <w:pPr>
              <w:autoSpaceDE w:val="0"/>
              <w:autoSpaceDN w:val="0"/>
              <w:jc w:val="right"/>
            </w:pPr>
            <w:r/>
            <w:r>
              <w:rPr>
                <w:b w:val="0"/>
                <w:sz w:val="17"/>
              </w:rPr>
              <w:t>86.1 ms</w:t>
            </w:r>
          </w:p>
        </w:tc>
        <w:tc>
          <w:tcPr>
            <w:tcW w:type="dxa" w:w="3173"/>
          </w:tcPr>
          <w:p>
            <w:pPr>
              <w:autoSpaceDE w:val="0"/>
              <w:autoSpaceDN w:val="0"/>
              <w:jc w:val="right"/>
            </w:pPr>
            <w:r/>
            <w:r>
              <w:rPr>
                <w:b w:val="0"/>
                <w:sz w:val="17"/>
              </w:rPr>
              <w:t>105.9 ms</w:t>
            </w:r>
          </w:p>
        </w:tc>
      </w:tr>
      <w:tr>
        <w:tc>
          <w:tcPr>
            <w:tcW w:type="dxa" w:w="3173"/>
          </w:tcPr>
          <w:p>
            <w:pPr>
              <w:autoSpaceDE w:val="0"/>
              <w:autoSpaceDN w:val="0"/>
            </w:pPr>
            <w:r/>
            <w:r>
              <w:rPr>
                <w:b w:val="0"/>
                <w:sz w:val="17"/>
              </w:rPr>
              <w:t>마감 위반</w:t>
            </w:r>
          </w:p>
        </w:tc>
        <w:tc>
          <w:tcPr>
            <w:tcW w:type="dxa" w:w="3173"/>
          </w:tcPr>
          <w:p>
            <w:pPr>
              <w:autoSpaceDE w:val="0"/>
              <w:autoSpaceDN w:val="0"/>
              <w:jc w:val="right"/>
            </w:pPr>
            <w:r/>
            <w:r>
              <w:rPr>
                <w:b w:val="0"/>
                <w:sz w:val="17"/>
              </w:rPr>
              <w:t>29,108건</w:t>
            </w:r>
          </w:p>
        </w:tc>
        <w:tc>
          <w:tcPr>
            <w:tcW w:type="dxa" w:w="3173"/>
          </w:tcPr>
          <w:p>
            <w:pPr>
              <w:autoSpaceDE w:val="0"/>
              <w:autoSpaceDN w:val="0"/>
              <w:jc w:val="right"/>
            </w:pPr>
            <w:r/>
            <w:r>
              <w:rPr>
                <w:b w:val="0"/>
                <w:sz w:val="17"/>
              </w:rPr>
              <w:t>17,054건</w:t>
            </w:r>
          </w:p>
        </w:tc>
      </w:tr>
      <w:tr>
        <w:tc>
          <w:tcPr>
            <w:tcW w:type="dxa" w:w="3173"/>
          </w:tcPr>
          <w:p>
            <w:pPr>
              <w:autoSpaceDE w:val="0"/>
              <w:autoSpaceDN w:val="0"/>
            </w:pPr>
            <w:r/>
            <w:r>
              <w:rPr>
                <w:b w:val="0"/>
                <w:sz w:val="17"/>
              </w:rPr>
              <w:t>용량 위반</w:t>
            </w:r>
          </w:p>
        </w:tc>
        <w:tc>
          <w:tcPr>
            <w:tcW w:type="dxa" w:w="3173"/>
          </w:tcPr>
          <w:p>
            <w:pPr>
              <w:autoSpaceDE w:val="0"/>
              <w:autoSpaceDN w:val="0"/>
              <w:jc w:val="right"/>
            </w:pPr>
            <w:r/>
            <w:r>
              <w:rPr>
                <w:b w:val="0"/>
                <w:sz w:val="17"/>
              </w:rPr>
              <w:t>5,172건</w:t>
            </w:r>
          </w:p>
        </w:tc>
        <w:tc>
          <w:tcPr>
            <w:tcW w:type="dxa" w:w="3173"/>
          </w:tcPr>
          <w:p>
            <w:pPr>
              <w:autoSpaceDE w:val="0"/>
              <w:autoSpaceDN w:val="0"/>
              <w:jc w:val="right"/>
            </w:pPr>
            <w:r/>
            <w:r>
              <w:rPr>
                <w:b w:val="0"/>
                <w:sz w:val="17"/>
              </w:rPr>
              <w:t>3,745건</w:t>
            </w:r>
          </w:p>
        </w:tc>
      </w:tr>
    </w:tbl>
    <w:p/>
    <w:p>
      <w:pPr>
        <w:autoSpaceDE w:val="0"/>
        <w:autoSpaceDN w:val="0"/>
        <w:spacing w:before="120" w:after="40"/>
        <w:jc w:val="center"/>
      </w:pPr>
      <w:r>
        <w:rPr>
          <w:b/>
          <w:sz w:val="17"/>
        </w:rPr>
        <w:t>표 S7. Caspian 전체 스케일 — 슬롯 점유를 올림한 경우와 분수로 둔 경우</w:t>
      </w:r>
    </w:p>
    <w:p>
      <w:pPr>
        <w:autoSpaceDE w:val="0"/>
        <w:autoSpaceDN w:val="0"/>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autoSpaceDE w:val="0"/>
        <w:autoSpaceDN w:val="0"/>
        <w:pStyle w:val="Heading1"/>
      </w:pPr>
      <w:r>
        <w:rPr>
          <w:rFonts w:ascii="맑은 고딕" w:hAnsi="맑은 고딕"/>
        </w:rPr>
        <w:t>A.6  지연 등급 분포를 바꾸어 재현한 결과</w:t>
      </w:r>
    </w:p>
    <w:p>
      <w:pPr>
        <w:autoSpaceDE w:val="0"/>
        <w:autoSpaceDN w:val="0"/>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pPr>
              <w:autoSpaceDE w:val="0"/>
              <w:autoSpaceDN w:val="0"/>
            </w:pPr>
            <w:r/>
            <w:r>
              <w:rPr>
                <w:b/>
                <w:sz w:val="17"/>
              </w:rPr>
              <w:t>분포 (k=1..5)</w:t>
            </w:r>
          </w:p>
        </w:tc>
        <w:tc>
          <w:tcPr>
            <w:tcW w:type="dxa" w:w="1058"/>
          </w:tcPr>
          <w:p>
            <w:pPr>
              <w:autoSpaceDE w:val="0"/>
              <w:autoSpaceDN w:val="0"/>
              <w:jc w:val="right"/>
            </w:pPr>
            <w:r/>
            <w:r>
              <w:rPr>
                <w:b/>
                <w:sz w:val="17"/>
              </w:rPr>
              <w:t>유연 비중</w:t>
            </w:r>
          </w:p>
        </w:tc>
        <w:tc>
          <w:tcPr>
            <w:tcW w:type="dxa" w:w="1058"/>
          </w:tcPr>
          <w:p>
            <w:pPr>
              <w:autoSpaceDE w:val="0"/>
              <w:autoSpaceDN w:val="0"/>
              <w:jc w:val="right"/>
            </w:pPr>
            <w:r/>
            <w:r>
              <w:rPr>
                <w:b/>
                <w:sz w:val="17"/>
              </w:rPr>
              <w:t>기준 ① (kg)</w:t>
            </w:r>
          </w:p>
        </w:tc>
        <w:tc>
          <w:tcPr>
            <w:tcW w:type="dxa" w:w="1058"/>
          </w:tcPr>
          <w:p>
            <w:pPr>
              <w:autoSpaceDE w:val="0"/>
              <w:autoSpaceDN w:val="0"/>
              <w:jc w:val="right"/>
            </w:pPr>
            <w:r/>
            <w:r>
              <w:rPr>
                <w:b/>
                <w:sz w:val="17"/>
              </w:rPr>
              <w:t>④ 절감률</w:t>
            </w:r>
          </w:p>
        </w:tc>
        <w:tc>
          <w:tcPr>
            <w:tcW w:type="dxa" w:w="1058"/>
          </w:tcPr>
          <w:p>
            <w:pPr>
              <w:autoSpaceDE w:val="0"/>
              <w:autoSpaceDN w:val="0"/>
              <w:jc w:val="right"/>
            </w:pPr>
            <w:r/>
            <w:r>
              <w:rPr>
                <w:b/>
                <w:sz w:val="17"/>
              </w:rPr>
              <w:t>용량 위반</w:t>
            </w:r>
          </w:p>
        </w:tc>
        <w:tc>
          <w:tcPr>
            <w:tcW w:type="dxa" w:w="1058"/>
          </w:tcPr>
          <w:p>
            <w:pPr>
              <w:autoSpaceDE w:val="0"/>
              <w:autoSpaceDN w:val="0"/>
              <w:jc w:val="right"/>
            </w:pPr>
            <w:r/>
            <w:r>
              <w:rPr>
                <w:b/>
                <w:sz w:val="17"/>
              </w:rPr>
              <w:t>마감 위반</w:t>
            </w:r>
          </w:p>
        </w:tc>
        <w:tc>
          <w:tcPr>
            <w:tcW w:type="dxa" w:w="1058"/>
          </w:tcPr>
          <w:p>
            <w:pPr>
              <w:autoSpaceDE w:val="0"/>
              <w:autoSpaceDN w:val="0"/>
            </w:pPr>
            <w:r/>
            <w:r>
              <w:rPr>
                <w:b/>
                <w:sz w:val="17"/>
              </w:rPr>
              <w:t>용량 비용</w:t>
            </w:r>
          </w:p>
        </w:tc>
        <w:tc>
          <w:tcPr>
            <w:tcW w:type="dxa" w:w="1058"/>
          </w:tcPr>
          <w:p>
            <w:pPr>
              <w:autoSpaceDE w:val="0"/>
              <w:autoSpaceDN w:val="0"/>
            </w:pPr>
            <w:r/>
            <w:r>
              <w:rPr>
                <w:b/>
                <w:sz w:val="17"/>
              </w:rPr>
              <w:t>예측 비용</w:t>
            </w:r>
          </w:p>
        </w:tc>
        <w:tc>
          <w:tcPr>
            <w:tcW w:type="dxa" w:w="1058"/>
          </w:tcPr>
          <w:p>
            <w:pPr>
              <w:autoSpaceDE w:val="0"/>
              <w:autoSpaceDN w:val="0"/>
              <w:jc w:val="right"/>
            </w:pPr>
            <w:r/>
            <w:r>
              <w:rPr>
                <w:b/>
                <w:sz w:val="17"/>
              </w:rPr>
              <w:t>배율</w:t>
            </w:r>
          </w:p>
        </w:tc>
      </w:tr>
      <w:tr>
        <w:tc>
          <w:tcPr>
            <w:tcW w:type="dxa" w:w="1058"/>
          </w:tcPr>
          <w:p>
            <w:pPr>
              <w:autoSpaceDE w:val="0"/>
              <w:autoSpaceDN w:val="0"/>
            </w:pPr>
            <w:r/>
            <w:r>
              <w:rPr>
                <w:b w:val="0"/>
                <w:sz w:val="17"/>
              </w:rPr>
              <w:t>1:1:2:2:4</w:t>
            </w:r>
          </w:p>
        </w:tc>
        <w:tc>
          <w:tcPr>
            <w:tcW w:type="dxa" w:w="1058"/>
          </w:tcPr>
          <w:p>
            <w:pPr>
              <w:autoSpaceDE w:val="0"/>
              <w:autoSpaceDN w:val="0"/>
              <w:jc w:val="right"/>
            </w:pPr>
            <w:r/>
            <w:r>
              <w:rPr>
                <w:b w:val="0"/>
                <w:sz w:val="17"/>
              </w:rPr>
              <w:t>19.93%</w:t>
            </w:r>
          </w:p>
        </w:tc>
        <w:tc>
          <w:tcPr>
            <w:tcW w:type="dxa" w:w="1058"/>
          </w:tcPr>
          <w:p>
            <w:pPr>
              <w:autoSpaceDE w:val="0"/>
              <w:autoSpaceDN w:val="0"/>
              <w:jc w:val="right"/>
            </w:pPr>
            <w:r/>
            <w:r>
              <w:rPr>
                <w:b w:val="0"/>
                <w:sz w:val="17"/>
              </w:rPr>
              <w:t>12,243.3</w:t>
            </w:r>
          </w:p>
        </w:tc>
        <w:tc>
          <w:tcPr>
            <w:tcW w:type="dxa" w:w="1058"/>
          </w:tcPr>
          <w:p>
            <w:pPr>
              <w:autoSpaceDE w:val="0"/>
              <w:autoSpaceDN w:val="0"/>
              <w:jc w:val="right"/>
            </w:pPr>
            <w:r/>
            <w:r>
              <w:rPr>
                <w:b w:val="0"/>
                <w:sz w:val="17"/>
              </w:rPr>
              <w:t>64.92%</w:t>
            </w:r>
          </w:p>
        </w:tc>
        <w:tc>
          <w:tcPr>
            <w:tcW w:type="dxa" w:w="1058"/>
          </w:tcPr>
          <w:p>
            <w:pPr>
              <w:autoSpaceDE w:val="0"/>
              <w:autoSpaceDN w:val="0"/>
              <w:jc w:val="right"/>
            </w:pPr>
            <w:r/>
            <w:r>
              <w:rPr>
                <w:b w:val="0"/>
                <w:sz w:val="17"/>
              </w:rPr>
              <w:t>0</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0.23%p</w:t>
            </w:r>
          </w:p>
        </w:tc>
        <w:tc>
          <w:tcPr>
            <w:tcW w:type="dxa" w:w="1058"/>
          </w:tcPr>
          <w:p>
            <w:pPr>
              <w:autoSpaceDE w:val="0"/>
              <w:autoSpaceDN w:val="0"/>
            </w:pPr>
            <w:r/>
            <w:r>
              <w:rPr>
                <w:b w:val="0"/>
                <w:sz w:val="17"/>
              </w:rPr>
              <w:t>0.98%p</w:t>
            </w:r>
          </w:p>
        </w:tc>
        <w:tc>
          <w:tcPr>
            <w:tcW w:type="dxa" w:w="1058"/>
          </w:tcPr>
          <w:p>
            <w:pPr>
              <w:autoSpaceDE w:val="0"/>
              <w:autoSpaceDN w:val="0"/>
              <w:jc w:val="right"/>
            </w:pPr>
            <w:r/>
            <w:r>
              <w:rPr>
                <w:b w:val="0"/>
                <w:sz w:val="17"/>
              </w:rPr>
              <w:t>0.23배</w:t>
            </w:r>
          </w:p>
        </w:tc>
      </w:tr>
      <w:tr>
        <w:tc>
          <w:tcPr>
            <w:tcW w:type="dxa" w:w="1058"/>
          </w:tcPr>
          <w:p>
            <w:pPr>
              <w:autoSpaceDE w:val="0"/>
              <w:autoSpaceDN w:val="0"/>
            </w:pPr>
            <w:r/>
            <w:r>
              <w:rPr>
                <w:b w:val="0"/>
                <w:sz w:val="17"/>
              </w:rPr>
              <w:t>2:2:2:2:2</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23,914.7</w:t>
            </w:r>
          </w:p>
        </w:tc>
        <w:tc>
          <w:tcPr>
            <w:tcW w:type="dxa" w:w="1058"/>
          </w:tcPr>
          <w:p>
            <w:pPr>
              <w:autoSpaceDE w:val="0"/>
              <w:autoSpaceDN w:val="0"/>
              <w:jc w:val="right"/>
            </w:pPr>
            <w:r/>
            <w:r>
              <w:rPr>
                <w:b w:val="0"/>
                <w:sz w:val="17"/>
              </w:rPr>
              <w:t>63.42%</w:t>
            </w:r>
          </w:p>
        </w:tc>
        <w:tc>
          <w:tcPr>
            <w:tcW w:type="dxa" w:w="1058"/>
          </w:tcPr>
          <w:p>
            <w:pPr>
              <w:autoSpaceDE w:val="0"/>
              <w:autoSpaceDN w:val="0"/>
              <w:jc w:val="right"/>
            </w:pPr>
            <w:r/>
            <w:r>
              <w:rPr>
                <w:b w:val="0"/>
                <w:sz w:val="17"/>
              </w:rPr>
              <w:t>173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1.52%p</w:t>
            </w:r>
          </w:p>
        </w:tc>
        <w:tc>
          <w:tcPr>
            <w:tcW w:type="dxa" w:w="1058"/>
          </w:tcPr>
          <w:p>
            <w:pPr>
              <w:autoSpaceDE w:val="0"/>
              <w:autoSpaceDN w:val="0"/>
            </w:pPr>
            <w:r/>
            <w:r>
              <w:rPr>
                <w:b w:val="0"/>
                <w:sz w:val="17"/>
              </w:rPr>
              <w:t>0.62%p</w:t>
            </w:r>
          </w:p>
        </w:tc>
        <w:tc>
          <w:tcPr>
            <w:tcW w:type="dxa" w:w="1058"/>
          </w:tcPr>
          <w:p>
            <w:pPr>
              <w:autoSpaceDE w:val="0"/>
              <w:autoSpaceDN w:val="0"/>
              <w:jc w:val="right"/>
            </w:pPr>
            <w:r/>
            <w:r>
              <w:rPr>
                <w:b w:val="0"/>
                <w:sz w:val="17"/>
              </w:rPr>
              <w:t>2.45배</w:t>
            </w:r>
          </w:p>
        </w:tc>
      </w:tr>
      <w:tr>
        <w:tc>
          <w:tcPr>
            <w:tcW w:type="dxa" w:w="1058"/>
          </w:tcPr>
          <w:p>
            <w:pPr>
              <w:autoSpaceDE w:val="0"/>
              <w:autoSpaceDN w:val="0"/>
            </w:pPr>
            <w:r/>
            <w:r>
              <w:rPr>
                <w:b w:val="0"/>
                <w:sz w:val="17"/>
              </w:rPr>
              <w:t>3:1:1:2:3 (본편)</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29,225.6</w:t>
            </w:r>
          </w:p>
        </w:tc>
        <w:tc>
          <w:tcPr>
            <w:tcW w:type="dxa" w:w="1058"/>
          </w:tcPr>
          <w:p>
            <w:pPr>
              <w:autoSpaceDE w:val="0"/>
              <w:autoSpaceDN w:val="0"/>
              <w:jc w:val="right"/>
            </w:pPr>
            <w:r/>
            <w:r>
              <w:rPr>
                <w:b w:val="0"/>
                <w:sz w:val="17"/>
              </w:rPr>
              <w:t>63.03%</w:t>
            </w:r>
          </w:p>
        </w:tc>
        <w:tc>
          <w:tcPr>
            <w:tcW w:type="dxa" w:w="1058"/>
          </w:tcPr>
          <w:p>
            <w:pPr>
              <w:autoSpaceDE w:val="0"/>
              <w:autoSpaceDN w:val="0"/>
              <w:jc w:val="right"/>
            </w:pPr>
            <w:r/>
            <w:r>
              <w:rPr>
                <w:b w:val="0"/>
                <w:sz w:val="17"/>
              </w:rPr>
              <w:t>227</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2.90%p</w:t>
            </w:r>
          </w:p>
        </w:tc>
        <w:tc>
          <w:tcPr>
            <w:tcW w:type="dxa" w:w="1058"/>
          </w:tcPr>
          <w:p>
            <w:pPr>
              <w:autoSpaceDE w:val="0"/>
              <w:autoSpaceDN w:val="0"/>
            </w:pPr>
            <w:r/>
            <w:r>
              <w:rPr>
                <w:b w:val="0"/>
                <w:sz w:val="17"/>
              </w:rPr>
              <w:t>0.61%p</w:t>
            </w:r>
          </w:p>
        </w:tc>
        <w:tc>
          <w:tcPr>
            <w:tcW w:type="dxa" w:w="1058"/>
          </w:tcPr>
          <w:p>
            <w:pPr>
              <w:autoSpaceDE w:val="0"/>
              <w:autoSpaceDN w:val="0"/>
              <w:jc w:val="right"/>
            </w:pPr>
            <w:r/>
            <w:r>
              <w:rPr>
                <w:b w:val="0"/>
                <w:sz w:val="17"/>
              </w:rPr>
              <w:t>4.76배</w:t>
            </w:r>
          </w:p>
        </w:tc>
      </w:tr>
      <w:tr>
        <w:tc>
          <w:tcPr>
            <w:tcW w:type="dxa" w:w="1058"/>
          </w:tcPr>
          <w:p>
            <w:pPr>
              <w:autoSpaceDE w:val="0"/>
              <w:autoSpaceDN w:val="0"/>
            </w:pPr>
            <w:r/>
            <w:r>
              <w:rPr>
                <w:b w:val="0"/>
                <w:sz w:val="17"/>
              </w:rPr>
              <w:t>3:2:1:1:3</w:t>
            </w:r>
          </w:p>
        </w:tc>
        <w:tc>
          <w:tcPr>
            <w:tcW w:type="dxa" w:w="1058"/>
          </w:tcPr>
          <w:p>
            <w:pPr>
              <w:autoSpaceDE w:val="0"/>
              <w:autoSpaceDN w:val="0"/>
              <w:jc w:val="right"/>
            </w:pPr>
            <w:r/>
            <w:r>
              <w:rPr>
                <w:b w:val="0"/>
                <w:sz w:val="17"/>
              </w:rPr>
              <w:t>49.96%</w:t>
            </w:r>
          </w:p>
        </w:tc>
        <w:tc>
          <w:tcPr>
            <w:tcW w:type="dxa" w:w="1058"/>
          </w:tcPr>
          <w:p>
            <w:pPr>
              <w:autoSpaceDE w:val="0"/>
              <w:autoSpaceDN w:val="0"/>
              <w:jc w:val="right"/>
            </w:pPr>
            <w:r/>
            <w:r>
              <w:rPr>
                <w:b w:val="0"/>
                <w:sz w:val="17"/>
              </w:rPr>
              <w:t>32,311.4</w:t>
            </w:r>
          </w:p>
        </w:tc>
        <w:tc>
          <w:tcPr>
            <w:tcW w:type="dxa" w:w="1058"/>
          </w:tcPr>
          <w:p>
            <w:pPr>
              <w:autoSpaceDE w:val="0"/>
              <w:autoSpaceDN w:val="0"/>
              <w:jc w:val="right"/>
            </w:pPr>
            <w:r/>
            <w:r>
              <w:rPr>
                <w:b w:val="0"/>
                <w:sz w:val="17"/>
              </w:rPr>
              <w:t>62.31%</w:t>
            </w:r>
          </w:p>
        </w:tc>
        <w:tc>
          <w:tcPr>
            <w:tcW w:type="dxa" w:w="1058"/>
          </w:tcPr>
          <w:p>
            <w:pPr>
              <w:autoSpaceDE w:val="0"/>
              <w:autoSpaceDN w:val="0"/>
              <w:jc w:val="right"/>
            </w:pPr>
            <w:r/>
            <w:r>
              <w:rPr>
                <w:b w:val="0"/>
                <w:sz w:val="17"/>
              </w:rPr>
              <w:t>631</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2.95%p</w:t>
            </w:r>
          </w:p>
        </w:tc>
        <w:tc>
          <w:tcPr>
            <w:tcW w:type="dxa" w:w="1058"/>
          </w:tcPr>
          <w:p>
            <w:pPr>
              <w:autoSpaceDE w:val="0"/>
              <w:autoSpaceDN w:val="0"/>
            </w:pPr>
            <w:r/>
            <w:r>
              <w:rPr>
                <w:b w:val="0"/>
                <w:sz w:val="17"/>
              </w:rPr>
              <w:t>0.65%p</w:t>
            </w:r>
          </w:p>
        </w:tc>
        <w:tc>
          <w:tcPr>
            <w:tcW w:type="dxa" w:w="1058"/>
          </w:tcPr>
          <w:p>
            <w:pPr>
              <w:autoSpaceDE w:val="0"/>
              <w:autoSpaceDN w:val="0"/>
              <w:jc w:val="right"/>
            </w:pPr>
            <w:r/>
            <w:r>
              <w:rPr>
                <w:b w:val="0"/>
                <w:sz w:val="17"/>
              </w:rPr>
              <w:t>4.53배</w:t>
            </w:r>
          </w:p>
        </w:tc>
      </w:tr>
      <w:tr>
        <w:tc>
          <w:tcPr>
            <w:tcW w:type="dxa" w:w="1058"/>
          </w:tcPr>
          <w:p>
            <w:pPr>
              <w:autoSpaceDE w:val="0"/>
              <w:autoSpaceDN w:val="0"/>
            </w:pPr>
            <w:r/>
            <w:r>
              <w:rPr>
                <w:b w:val="0"/>
                <w:sz w:val="17"/>
              </w:rPr>
              <w:t>4:3:1:1:1</w:t>
            </w:r>
          </w:p>
        </w:tc>
        <w:tc>
          <w:tcPr>
            <w:tcW w:type="dxa" w:w="1058"/>
          </w:tcPr>
          <w:p>
            <w:pPr>
              <w:autoSpaceDE w:val="0"/>
              <w:autoSpaceDN w:val="0"/>
              <w:jc w:val="right"/>
            </w:pPr>
            <w:r/>
            <w:r>
              <w:rPr>
                <w:b w:val="0"/>
                <w:sz w:val="17"/>
              </w:rPr>
              <w:t>70.08%</w:t>
            </w:r>
          </w:p>
        </w:tc>
        <w:tc>
          <w:tcPr>
            <w:tcW w:type="dxa" w:w="1058"/>
          </w:tcPr>
          <w:p>
            <w:pPr>
              <w:autoSpaceDE w:val="0"/>
              <w:autoSpaceDN w:val="0"/>
              <w:jc w:val="right"/>
            </w:pPr>
            <w:r/>
            <w:r>
              <w:rPr>
                <w:b w:val="0"/>
                <w:sz w:val="17"/>
              </w:rPr>
              <w:t>43,912.3</w:t>
            </w:r>
          </w:p>
        </w:tc>
        <w:tc>
          <w:tcPr>
            <w:tcW w:type="dxa" w:w="1058"/>
          </w:tcPr>
          <w:p>
            <w:pPr>
              <w:autoSpaceDE w:val="0"/>
              <w:autoSpaceDN w:val="0"/>
              <w:jc w:val="right"/>
            </w:pPr>
            <w:r/>
            <w:r>
              <w:rPr>
                <w:b w:val="0"/>
                <w:sz w:val="17"/>
              </w:rPr>
              <w:t>58.30%</w:t>
            </w:r>
          </w:p>
        </w:tc>
        <w:tc>
          <w:tcPr>
            <w:tcW w:type="dxa" w:w="1058"/>
          </w:tcPr>
          <w:p>
            <w:pPr>
              <w:autoSpaceDE w:val="0"/>
              <w:autoSpaceDN w:val="0"/>
              <w:jc w:val="right"/>
            </w:pPr>
            <w:r/>
            <w:r>
              <w:rPr>
                <w:b w:val="0"/>
                <w:sz w:val="17"/>
              </w:rPr>
              <w:t>3,643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3.85%p</w:t>
            </w:r>
          </w:p>
        </w:tc>
        <w:tc>
          <w:tcPr>
            <w:tcW w:type="dxa" w:w="1058"/>
          </w:tcPr>
          <w:p>
            <w:pPr>
              <w:autoSpaceDE w:val="0"/>
              <w:autoSpaceDN w:val="0"/>
            </w:pPr>
            <w:r/>
            <w:r>
              <w:rPr>
                <w:b w:val="0"/>
                <w:sz w:val="17"/>
              </w:rPr>
              <w:t>0.82%p</w:t>
            </w:r>
          </w:p>
        </w:tc>
        <w:tc>
          <w:tcPr>
            <w:tcW w:type="dxa" w:w="1058"/>
          </w:tcPr>
          <w:p>
            <w:pPr>
              <w:autoSpaceDE w:val="0"/>
              <w:autoSpaceDN w:val="0"/>
              <w:jc w:val="right"/>
            </w:pPr>
            <w:r/>
            <w:r>
              <w:rPr>
                <w:b w:val="0"/>
                <w:sz w:val="17"/>
              </w:rPr>
              <w:t>4.72배</w:t>
            </w:r>
          </w:p>
        </w:tc>
      </w:tr>
      <w:tr>
        <w:tc>
          <w:tcPr>
            <w:tcW w:type="dxa" w:w="1058"/>
          </w:tcPr>
          <w:p>
            <w:pPr>
              <w:autoSpaceDE w:val="0"/>
              <w:autoSpaceDN w:val="0"/>
            </w:pPr>
            <w:r/>
            <w:r>
              <w:rPr>
                <w:b w:val="0"/>
                <w:sz w:val="17"/>
              </w:rPr>
              <w:t>5:4:1:0:0</w:t>
            </w:r>
          </w:p>
        </w:tc>
        <w:tc>
          <w:tcPr>
            <w:tcW w:type="dxa" w:w="1058"/>
          </w:tcPr>
          <w:p>
            <w:pPr>
              <w:autoSpaceDE w:val="0"/>
              <w:autoSpaceDN w:val="0"/>
              <w:jc w:val="right"/>
            </w:pPr>
            <w:r/>
            <w:r>
              <w:rPr>
                <w:b w:val="0"/>
                <w:sz w:val="17"/>
              </w:rPr>
              <w:t>90.10%</w:t>
            </w:r>
          </w:p>
        </w:tc>
        <w:tc>
          <w:tcPr>
            <w:tcW w:type="dxa" w:w="1058"/>
          </w:tcPr>
          <w:p>
            <w:pPr>
              <w:autoSpaceDE w:val="0"/>
              <w:autoSpaceDN w:val="0"/>
              <w:jc w:val="right"/>
            </w:pPr>
            <w:r/>
            <w:r>
              <w:rPr>
                <w:b w:val="0"/>
                <w:sz w:val="17"/>
              </w:rPr>
              <w:t>55,654.8</w:t>
            </w:r>
          </w:p>
        </w:tc>
        <w:tc>
          <w:tcPr>
            <w:tcW w:type="dxa" w:w="1058"/>
          </w:tcPr>
          <w:p>
            <w:pPr>
              <w:autoSpaceDE w:val="0"/>
              <w:autoSpaceDN w:val="0"/>
              <w:jc w:val="right"/>
            </w:pPr>
            <w:r/>
            <w:r>
              <w:rPr>
                <w:b w:val="0"/>
                <w:sz w:val="17"/>
              </w:rPr>
              <w:t>58.82%</w:t>
            </w:r>
          </w:p>
        </w:tc>
        <w:tc>
          <w:tcPr>
            <w:tcW w:type="dxa" w:w="1058"/>
          </w:tcPr>
          <w:p>
            <w:pPr>
              <w:autoSpaceDE w:val="0"/>
              <w:autoSpaceDN w:val="0"/>
              <w:jc w:val="right"/>
            </w:pPr>
            <w:r/>
            <w:r>
              <w:rPr>
                <w:b w:val="0"/>
                <w:sz w:val="17"/>
              </w:rPr>
              <w:t>28,828</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4.41%p</w:t>
            </w:r>
          </w:p>
        </w:tc>
        <w:tc>
          <w:tcPr>
            <w:tcW w:type="dxa" w:w="1058"/>
          </w:tcPr>
          <w:p>
            <w:pPr>
              <w:autoSpaceDE w:val="0"/>
              <w:autoSpaceDN w:val="0"/>
            </w:pPr>
            <w:r/>
            <w:r>
              <w:rPr>
                <w:b w:val="0"/>
                <w:sz w:val="17"/>
              </w:rPr>
              <w:t>0.72%p</w:t>
            </w:r>
          </w:p>
        </w:tc>
        <w:tc>
          <w:tcPr>
            <w:tcW w:type="dxa" w:w="1058"/>
          </w:tcPr>
          <w:p>
            <w:pPr>
              <w:autoSpaceDE w:val="0"/>
              <w:autoSpaceDN w:val="0"/>
              <w:jc w:val="right"/>
            </w:pPr>
            <w:r/>
            <w:r>
              <w:rPr>
                <w:b w:val="0"/>
                <w:sz w:val="17"/>
              </w:rPr>
              <w:t>6.14배</w:t>
            </w:r>
          </w:p>
        </w:tc>
      </w:tr>
    </w:tbl>
    <w:p/>
    <w:p>
      <w:pPr>
        <w:autoSpaceDE w:val="0"/>
        <w:autoSpaceDN w:val="0"/>
        <w:spacing w:before="120" w:after="40"/>
        <w:jc w:val="center"/>
      </w:pPr>
      <w:r>
        <w:rPr>
          <w:b/>
          <w:sz w:val="17"/>
        </w:rPr>
        <w:t>표 S8. 지연 등급 분포를 바꾸어 전체 파이프라인을 다시 돌린 결과</w:t>
      </w:r>
    </w:p>
    <w:p>
      <w:pPr>
        <w:autoSpaceDE w:val="0"/>
        <w:autoSpaceDN w:val="0"/>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autoSpaceDE w:val="0"/>
        <w:autoSpaceDN w:val="0"/>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autoSpaceDE w:val="0"/>
        <w:autoSpaceDN w:val="0"/>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autoSpaceDE w:val="0"/>
        <w:autoSpaceDN w:val="0"/>
        <w:pStyle w:val="Heading1"/>
      </w:pPr>
      <w:r>
        <w:rPr>
          <w:rFonts w:ascii="맑은 고딕" w:hAnsi="맑은 고딕"/>
        </w:rPr>
        <w:t>A.7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A.8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A.9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4의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A.10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A.10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지연 등급별 시간 이동 기여</w:t>
      </w:r>
    </w:p>
    <w:p>
      <w:pPr>
        <w:autoSpaceDE w:val="0"/>
        <w:autoSpaceDN w:val="0"/>
        <w:jc w:val="both"/>
      </w:pPr>
      <w:r>
        <w:rPr>
          <w:i w:val="0"/>
          <w:sz w:val="20"/>
        </w:rPr>
        <w:t>본편 4.2절은 절감의 93.79%가 등급 1에서, 6.20%가 등급 2에서 나온다고만 밝힌다. 등급별 작업 수와 절감량은 다음과 같다.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등급</w:t>
            </w:r>
          </w:p>
        </w:tc>
        <w:tc>
          <w:tcPr>
            <w:tcW w:type="dxa" w:w="1904"/>
          </w:tcPr>
          <w:p>
            <w:pPr>
              <w:autoSpaceDE w:val="0"/>
              <w:autoSpaceDN w:val="0"/>
              <w:jc w:val="right"/>
            </w:pPr>
            <w:r/>
            <w:r>
              <w:rPr>
                <w:b/>
                <w:sz w:val="17"/>
              </w:rPr>
              <w:t>작업 수</w:t>
            </w:r>
          </w:p>
        </w:tc>
        <w:tc>
          <w:tcPr>
            <w:tcW w:type="dxa" w:w="1904"/>
          </w:tcPr>
          <w:p>
            <w:pPr>
              <w:autoSpaceDE w:val="0"/>
              <w:autoSpaceDN w:val="0"/>
            </w:pPr>
            <w:r/>
            <w:r>
              <w:rPr>
                <w:b/>
                <w:sz w:val="17"/>
              </w:rPr>
              <w:t>지연 예산</w:t>
            </w:r>
          </w:p>
        </w:tc>
        <w:tc>
          <w:tcPr>
            <w:tcW w:type="dxa" w:w="1904"/>
          </w:tcPr>
          <w:p>
            <w:pPr>
              <w:autoSpaceDE w:val="0"/>
              <w:autoSpaceDN w:val="0"/>
              <w:jc w:val="right"/>
            </w:pPr>
            <w:r/>
            <w:r>
              <w:rPr>
                <w:b/>
                <w:sz w:val="17"/>
              </w:rPr>
              <w:t>절감량 (kg)</w:t>
            </w:r>
          </w:p>
        </w:tc>
        <w:tc>
          <w:tcPr>
            <w:tcW w:type="dxa" w:w="1904"/>
          </w:tcPr>
          <w:p>
            <w:pPr>
              <w:autoSpaceDE w:val="0"/>
              <w:autoSpaceDN w:val="0"/>
              <w:jc w:val="right"/>
            </w:pPr>
            <w:r/>
            <w:r>
              <w:rPr>
                <w:b/>
                <w:sz w:val="17"/>
              </w:rPr>
              <w:t>비중 (%)</w:t>
            </w:r>
          </w:p>
        </w:tc>
      </w:tr>
      <w:tr>
        <w:tc>
          <w:tcPr>
            <w:tcW w:type="dxa" w:w="1904"/>
          </w:tcPr>
          <w:p>
            <w:pPr>
              <w:autoSpaceDE w:val="0"/>
              <w:autoSpaceDN w:val="0"/>
            </w:pPr>
            <w:r/>
            <w:r>
              <w:rPr>
                <w:b w:val="0"/>
                <w:sz w:val="17"/>
              </w:rPr>
              <w:t>k=1</w:t>
            </w:r>
          </w:p>
        </w:tc>
        <w:tc>
          <w:tcPr>
            <w:tcW w:type="dxa" w:w="1904"/>
          </w:tcPr>
          <w:p>
            <w:pPr>
              <w:autoSpaceDE w:val="0"/>
              <w:autoSpaceDN w:val="0"/>
              <w:jc w:val="right"/>
            </w:pPr>
            <w:r/>
            <w:r>
              <w:rPr>
                <w:b w:val="0"/>
                <w:sz w:val="17"/>
              </w:rPr>
              <w:t>43,830</w:t>
            </w:r>
          </w:p>
        </w:tc>
        <w:tc>
          <w:tcPr>
            <w:tcW w:type="dxa" w:w="1904"/>
          </w:tcPr>
          <w:p>
            <w:pPr>
              <w:autoSpaceDE w:val="0"/>
              <w:autoSpaceDN w:val="0"/>
            </w:pPr>
            <w:r/>
            <w:r>
              <w:rPr>
                <w:b w:val="0"/>
                <w:sz w:val="17"/>
              </w:rPr>
              <w:t>12~24시간</w:t>
            </w:r>
          </w:p>
        </w:tc>
        <w:tc>
          <w:tcPr>
            <w:tcW w:type="dxa" w:w="1904"/>
          </w:tcPr>
          <w:p>
            <w:pPr>
              <w:autoSpaceDE w:val="0"/>
              <w:autoSpaceDN w:val="0"/>
              <w:jc w:val="right"/>
            </w:pPr>
            <w:r/>
            <w:r>
              <w:rPr>
                <w:b w:val="0"/>
                <w:sz w:val="17"/>
              </w:rPr>
              <w:t>1,692.8</w:t>
            </w:r>
          </w:p>
        </w:tc>
        <w:tc>
          <w:tcPr>
            <w:tcW w:type="dxa" w:w="1904"/>
          </w:tcPr>
          <w:p>
            <w:pPr>
              <w:autoSpaceDE w:val="0"/>
              <w:autoSpaceDN w:val="0"/>
              <w:jc w:val="right"/>
            </w:pPr>
            <w:r/>
            <w:r>
              <w:rPr>
                <w:b w:val="0"/>
                <w:sz w:val="17"/>
              </w:rPr>
              <w:t>93.79</w:t>
            </w:r>
          </w:p>
        </w:tc>
      </w:tr>
      <w:tr>
        <w:tc>
          <w:tcPr>
            <w:tcW w:type="dxa" w:w="1904"/>
          </w:tcPr>
          <w:p>
            <w:pPr>
              <w:autoSpaceDE w:val="0"/>
              <w:autoSpaceDN w:val="0"/>
            </w:pPr>
            <w:r/>
            <w:r>
              <w:rPr>
                <w:b w:val="0"/>
                <w:sz w:val="17"/>
              </w:rPr>
              <w:t>k=2</w:t>
            </w:r>
          </w:p>
        </w:tc>
        <w:tc>
          <w:tcPr>
            <w:tcW w:type="dxa" w:w="1904"/>
          </w:tcPr>
          <w:p>
            <w:pPr>
              <w:autoSpaceDE w:val="0"/>
              <w:autoSpaceDN w:val="0"/>
              <w:jc w:val="right"/>
            </w:pPr>
            <w:r/>
            <w:r>
              <w:rPr>
                <w:b w:val="0"/>
                <w:sz w:val="17"/>
              </w:rPr>
              <w:t>14,458</w:t>
            </w:r>
          </w:p>
        </w:tc>
        <w:tc>
          <w:tcPr>
            <w:tcW w:type="dxa" w:w="1904"/>
          </w:tcPr>
          <w:p>
            <w:pPr>
              <w:autoSpaceDE w:val="0"/>
              <w:autoSpaceDN w:val="0"/>
            </w:pPr>
            <w:r/>
            <w:r>
              <w:rPr>
                <w:b w:val="0"/>
                <w:sz w:val="17"/>
              </w:rPr>
              <w:t>2~8시간</w:t>
            </w:r>
          </w:p>
        </w:tc>
        <w:tc>
          <w:tcPr>
            <w:tcW w:type="dxa" w:w="1904"/>
          </w:tcPr>
          <w:p>
            <w:pPr>
              <w:autoSpaceDE w:val="0"/>
              <w:autoSpaceDN w:val="0"/>
              <w:jc w:val="right"/>
            </w:pPr>
            <w:r/>
            <w:r>
              <w:rPr>
                <w:b w:val="0"/>
                <w:sz w:val="17"/>
              </w:rPr>
              <w:t>111.9</w:t>
            </w:r>
          </w:p>
        </w:tc>
        <w:tc>
          <w:tcPr>
            <w:tcW w:type="dxa" w:w="1904"/>
          </w:tcPr>
          <w:p>
            <w:pPr>
              <w:autoSpaceDE w:val="0"/>
              <w:autoSpaceDN w:val="0"/>
              <w:jc w:val="right"/>
            </w:pPr>
            <w:r/>
            <w:r>
              <w:rPr>
                <w:b w:val="0"/>
                <w:sz w:val="17"/>
              </w:rPr>
              <w:t>6.20</w:t>
            </w:r>
          </w:p>
        </w:tc>
      </w:tr>
      <w:tr>
        <w:tc>
          <w:tcPr>
            <w:tcW w:type="dxa" w:w="1904"/>
          </w:tcPr>
          <w:p>
            <w:pPr>
              <w:autoSpaceDE w:val="0"/>
              <w:autoSpaceDN w:val="0"/>
            </w:pPr>
            <w:r/>
            <w:r>
              <w:rPr>
                <w:b w:val="0"/>
                <w:sz w:val="17"/>
              </w:rPr>
              <w:t>k=3</w:t>
            </w:r>
          </w:p>
        </w:tc>
        <w:tc>
          <w:tcPr>
            <w:tcW w:type="dxa" w:w="1904"/>
          </w:tcPr>
          <w:p>
            <w:pPr>
              <w:autoSpaceDE w:val="0"/>
              <w:autoSpaceDN w:val="0"/>
              <w:jc w:val="right"/>
            </w:pPr>
            <w:r/>
            <w:r>
              <w:rPr>
                <w:b w:val="0"/>
                <w:sz w:val="17"/>
              </w:rPr>
              <w:t>14,716</w:t>
            </w:r>
          </w:p>
        </w:tc>
        <w:tc>
          <w:tcPr>
            <w:tcW w:type="dxa" w:w="1904"/>
          </w:tcPr>
          <w:p>
            <w:pPr>
              <w:autoSpaceDE w:val="0"/>
              <w:autoSpaceDN w:val="0"/>
            </w:pPr>
            <w:r/>
            <w:r>
              <w:rPr>
                <w:b w:val="0"/>
                <w:sz w:val="17"/>
              </w:rPr>
              <w:t>2~10분</w:t>
            </w:r>
          </w:p>
        </w:tc>
        <w:tc>
          <w:tcPr>
            <w:tcW w:type="dxa" w:w="1904"/>
          </w:tcPr>
          <w:p>
            <w:pPr>
              <w:autoSpaceDE w:val="0"/>
              <w:autoSpaceDN w:val="0"/>
              <w:jc w:val="right"/>
            </w:pPr>
            <w:r/>
            <w:r>
              <w:rPr>
                <w:b w:val="0"/>
                <w:sz w:val="17"/>
              </w:rPr>
              <w:t>0.0</w:t>
            </w:r>
          </w:p>
        </w:tc>
        <w:tc>
          <w:tcPr>
            <w:tcW w:type="dxa" w:w="1904"/>
          </w:tcPr>
          <w:p>
            <w:pPr>
              <w:autoSpaceDE w:val="0"/>
              <w:autoSpaceDN w:val="0"/>
              <w:jc w:val="right"/>
            </w:pPr>
            <w:r/>
            <w:r>
              <w:rPr>
                <w:b w:val="0"/>
                <w:sz w:val="17"/>
              </w:rPr>
              <w:t>0.00</w:t>
            </w:r>
          </w:p>
        </w:tc>
      </w:tr>
      <w:tr>
        <w:tc>
          <w:tcPr>
            <w:tcW w:type="dxa" w:w="1904"/>
          </w:tcPr>
          <w:p>
            <w:pPr>
              <w:autoSpaceDE w:val="0"/>
              <w:autoSpaceDN w:val="0"/>
            </w:pPr>
            <w:r/>
            <w:r>
              <w:rPr>
                <w:b w:val="0"/>
                <w:sz w:val="17"/>
              </w:rPr>
              <w:t>k=4</w:t>
            </w:r>
          </w:p>
        </w:tc>
        <w:tc>
          <w:tcPr>
            <w:tcW w:type="dxa" w:w="1904"/>
          </w:tcPr>
          <w:p>
            <w:pPr>
              <w:autoSpaceDE w:val="0"/>
              <w:autoSpaceDN w:val="0"/>
              <w:jc w:val="right"/>
            </w:pPr>
            <w:r/>
            <w:r>
              <w:rPr>
                <w:b w:val="0"/>
                <w:sz w:val="17"/>
              </w:rPr>
              <w:t>29,244</w:t>
            </w:r>
          </w:p>
        </w:tc>
        <w:tc>
          <w:tcPr>
            <w:tcW w:type="dxa" w:w="1904"/>
          </w:tcPr>
          <w:p>
            <w:pPr>
              <w:autoSpaceDE w:val="0"/>
              <w:autoSpaceDN w:val="0"/>
            </w:pPr>
            <w:r/>
            <w:r>
              <w:rPr>
                <w:b w:val="0"/>
                <w:sz w:val="17"/>
              </w:rPr>
              <w:t>15~60초</w:t>
            </w:r>
          </w:p>
        </w:tc>
        <w:tc>
          <w:tcPr>
            <w:tcW w:type="dxa" w:w="1904"/>
          </w:tcPr>
          <w:p>
            <w:pPr>
              <w:autoSpaceDE w:val="0"/>
              <w:autoSpaceDN w:val="0"/>
              <w:jc w:val="right"/>
            </w:pPr>
            <w:r/>
            <w:r>
              <w:rPr>
                <w:b w:val="0"/>
                <w:sz w:val="17"/>
              </w:rPr>
              <w:t>0.0</w:t>
            </w:r>
          </w:p>
        </w:tc>
        <w:tc>
          <w:tcPr>
            <w:tcW w:type="dxa" w:w="1904"/>
          </w:tcPr>
          <w:p>
            <w:pPr>
              <w:autoSpaceDE w:val="0"/>
              <w:autoSpaceDN w:val="0"/>
              <w:jc w:val="right"/>
            </w:pPr>
            <w:r/>
            <w:r>
              <w:rPr>
                <w:b w:val="0"/>
                <w:sz w:val="17"/>
              </w:rPr>
              <w:t>0.00</w:t>
            </w:r>
          </w:p>
        </w:tc>
      </w:tr>
      <w:tr>
        <w:tc>
          <w:tcPr>
            <w:tcW w:type="dxa" w:w="1904"/>
          </w:tcPr>
          <w:p>
            <w:pPr>
              <w:autoSpaceDE w:val="0"/>
              <w:autoSpaceDN w:val="0"/>
            </w:pPr>
            <w:r/>
            <w:r>
              <w:rPr>
                <w:b w:val="0"/>
                <w:sz w:val="17"/>
              </w:rPr>
              <w:t>k=5</w:t>
            </w:r>
          </w:p>
        </w:tc>
        <w:tc>
          <w:tcPr>
            <w:tcW w:type="dxa" w:w="1904"/>
          </w:tcPr>
          <w:p>
            <w:pPr>
              <w:autoSpaceDE w:val="0"/>
              <w:autoSpaceDN w:val="0"/>
              <w:jc w:val="right"/>
            </w:pPr>
            <w:r/>
            <w:r>
              <w:rPr>
                <w:b w:val="0"/>
                <w:sz w:val="17"/>
              </w:rPr>
              <w:t>43,752</w:t>
            </w:r>
          </w:p>
        </w:tc>
        <w:tc>
          <w:tcPr>
            <w:tcW w:type="dxa" w:w="1904"/>
          </w:tcPr>
          <w:p>
            <w:pPr>
              <w:autoSpaceDE w:val="0"/>
              <w:autoSpaceDN w:val="0"/>
            </w:pPr>
            <w:r/>
            <w:r>
              <w:rPr>
                <w:b w:val="0"/>
                <w:sz w:val="17"/>
              </w:rPr>
              <w:t>1~5초</w:t>
            </w:r>
          </w:p>
        </w:tc>
        <w:tc>
          <w:tcPr>
            <w:tcW w:type="dxa" w:w="1904"/>
          </w:tcPr>
          <w:p>
            <w:pPr>
              <w:autoSpaceDE w:val="0"/>
              <w:autoSpaceDN w:val="0"/>
              <w:jc w:val="right"/>
            </w:pPr>
            <w:r/>
            <w:r>
              <w:rPr>
                <w:b w:val="0"/>
                <w:sz w:val="17"/>
              </w:rPr>
              <w:t>0.0</w:t>
            </w:r>
          </w:p>
        </w:tc>
        <w:tc>
          <w:tcPr>
            <w:tcW w:type="dxa" w:w="1904"/>
          </w:tcPr>
          <w:p>
            <w:pPr>
              <w:autoSpaceDE w:val="0"/>
              <w:autoSpaceDN w:val="0"/>
              <w:jc w:val="right"/>
            </w:pPr>
            <w:r/>
            <w:r>
              <w:rPr>
                <w:b w:val="0"/>
                <w:sz w:val="17"/>
              </w:rPr>
              <w:t>0.00</w:t>
            </w:r>
          </w:p>
        </w:tc>
      </w:tr>
    </w:tbl>
    <w:p/>
    <w:p>
      <w:pPr>
        <w:autoSpaceDE w:val="0"/>
        <w:autoSpaceDN w:val="0"/>
        <w:spacing w:before="120" w:after="40"/>
        <w:jc w:val="center"/>
      </w:pPr>
      <w:r>
        <w:rPr>
          <w:b/>
          <w:sz w:val="17"/>
        </w:rPr>
        <w:t>표 S13. 지연 등급별 시간 이동 절감 기여</w:t>
      </w:r>
    </w:p>
    <w:p>
      <w:pPr>
        <w:autoSpaceDE w:val="0"/>
        <w:autoSpaceDN w:val="0"/>
        <w:jc w:val="both"/>
      </w:pPr>
      <w:r>
        <w:rPr>
          <w:i w:val="0"/>
          <w:sz w:val="20"/>
        </w:rPr>
        <w:t>등급 3 이하가 0.00%인 것은 알고리즘의 한계가 아니라 슬롯 길이의 결과다. 이 세 등급은 지연 예산이 1시간보다 짧아 정수 슬롯 격자 위에 옮길 자리가 없다 — A.10의 '용량을 보지 않고 지나가는 경로'가 다루는 작업들이며, 전체의 60.1%인 87,712건이다. 슬롯 길이를 줄이면 이들도 움직이지만 정수 계획을 푸는 횟수가 그만큼 늘어난다.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S14.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S15.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r>
        <w:tc>
          <w:tcPr>
            <w:tcW w:type="dxa" w:w="1904"/>
          </w:tcPr>
          <w:p>
            <w:pPr>
              <w:autoSpaceDE w:val="0"/>
              <w:autoSpaceDN w:val="0"/>
            </w:pPr>
            <w:r/>
            <w:r>
              <w:rPr>
                <w:b w:val="0"/>
                <w:sz w:val="17"/>
              </w:rPr>
              <w:t>Caspian (분수)</w:t>
            </w:r>
          </w:p>
        </w:tc>
        <w:tc>
          <w:tcPr>
            <w:tcW w:type="dxa" w:w="1904"/>
          </w:tcPr>
          <w:p>
            <w:pPr>
              <w:autoSpaceDE w:val="0"/>
              <w:autoSpaceDN w:val="0"/>
              <w:jc w:val="right"/>
            </w:pPr>
            <w:r/>
            <w:r>
              <w:rPr>
                <w:b w:val="0"/>
                <w:sz w:val="17"/>
              </w:rPr>
              <w:t>20,308.4 kg</w:t>
            </w:r>
          </w:p>
        </w:tc>
        <w:tc>
          <w:tcPr>
            <w:tcW w:type="dxa" w:w="1904"/>
          </w:tcPr>
          <w:p>
            <w:pPr>
              <w:autoSpaceDE w:val="0"/>
              <w:autoSpaceDN w:val="0"/>
              <w:jc w:val="right"/>
            </w:pPr>
            <w:r/>
            <w:r>
              <w:rPr>
                <w:b w:val="0"/>
                <w:sz w:val="17"/>
              </w:rPr>
              <w:t>20,335.4 kg</w:t>
            </w:r>
          </w:p>
        </w:tc>
        <w:tc>
          <w:tcPr>
            <w:tcW w:type="dxa" w:w="1904"/>
          </w:tcPr>
          <w:p>
            <w:pPr>
              <w:autoSpaceDE w:val="0"/>
              <w:autoSpaceDN w:val="0"/>
            </w:pPr>
            <w:r/>
            <w:r>
              <w:rPr>
                <w:b w:val="0"/>
                <w:sz w:val="17"/>
              </w:rPr>
              <w:t>+0.133%</w:t>
            </w:r>
          </w:p>
        </w:tc>
        <w:tc>
          <w:tcPr>
            <w:tcW w:type="dxa" w:w="1904"/>
          </w:tcPr>
          <w:p>
            <w:pPr>
              <w:autoSpaceDE w:val="0"/>
              <w:autoSpaceDN w:val="0"/>
            </w:pPr>
            <w:r/>
            <w:r>
              <w:rPr>
                <w:b w:val="0"/>
                <w:sz w:val="17"/>
              </w:rPr>
              <w:t>−0.092%p</w:t>
            </w:r>
          </w:p>
        </w:tc>
      </w:tr>
    </w:tbl>
    <w:p/>
    <w:p>
      <w:pPr>
        <w:autoSpaceDE w:val="0"/>
        <w:autoSpaceDN w:val="0"/>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