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63.03%를 줄였으며 마감 위반은 없었다. 무릎점 자동 선택은 가중치 고정(알파=0.5) 대비 지연 6.7ms만 더 쓰고 탄소는 10.64%포인트 더 줄인다. 다만 리전별 용량 제한을 지키면 시간 이동의 몫은 이론상 9.07%포인트에서 6.18%포인트로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63.03%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6.18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2555F655" w14:textId="77777777" w:rsidR="00CA0C2E" w:rsidRDefault="00CA0C2E" w:rsidP="00724B75">
      <w:pPr>
        <w:jc w:val="left"/>
      </w:pPr>
    </w:p>
    <w:p w14:paraId="6DD7D073" w14:textId="77777777" w:rsidR="00CA0C2E" w:rsidRDefault="00000000" w:rsidP="00724B75">
      <w:pPr>
        <w:jc w:val="left"/>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left"/>
      </w:pPr>
    </w:p>
    <w:p w14:paraId="107EBCB6" w14:textId="77777777" w:rsidR="00CA0C2E" w:rsidRDefault="00000000" w:rsidP="00724B75">
      <w:pPr>
        <w:jc w:val="left"/>
      </w:pPr>
      <w:r>
        <w:t xml:space="preserve">그림 1은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left"/>
      </w:pPr>
    </w:p>
    <w:p w14:paraId="FB000002" w14:textId="77777777" w:rsidR="00CA0C2E" w:rsidRDefault="00000000" w:rsidP="00724B75">
      <w:pPr>
        <w:jc w:val="left"/>
      </w:pPr>
      <w:r>
        <w:rPr>
          <w:noProof/>
        </w:rPr>
        <w:drawing>
          <wp:anchor distT="0" distB="0" distL="114300" distR="114300" simplePos="0" relativeHeight="2" behindDoc="0" locked="0" layoutInCell="1" allowOverlap="1">
            <wp:simplePos x="0" y="0"/>
            <wp:positionH relativeFrom="page">
              <wp:align>center</wp:align>
            </wp:positionH>
            <wp:positionV relativeFrom="paragraph">
              <wp:posOffset>0</wp:posOffset>
            </wp:positionV>
            <wp:extent cx="5727700" cy="2438400"/>
            <wp:effectExtent l="0" t="0" r="0" b="0"/>
            <wp:wrapTopAndBottom/>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5727700" cy="2438400"/>
                    </a:xfrm>
                    <a:prstGeom prst="rect">
                      <a:avLst/>
                    </a:prstGeom>
                  </pic:spPr>
                </pic:pic>
              </a:graphicData>
            </a:graphic>
          </wp:anchor>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left"/>
      </w:pPr>
      <w:r>
        <w:t xml:space="preserve">그림 2는 슬롯 단위 로드밸런서가 예측·지연 행렬·직전 배정을 입력받아 α를 슬롯마다 자동으로 정하고 ILP로 작업의 실행 리전을 배정하는 과정을 나타낸다.</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left"/>
      </w:pPr>
    </w:p>
    <w:p w14:paraId="FA000002" w14:textId="77777777" w:rsidR="00CA0C2E" w:rsidRDefault="00000000" w:rsidP="00724B75">
      <w:pPr>
        <w:jc w:val="left"/>
      </w:pPr>
      <w:r>
        <w:t xml:space="preserve">그림 3은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left"/>
      </w:pPr>
    </w:p>
    <w:p w14:paraId="FC000002" w14:textId="77777777" w:rsidR="00CA0C2E" w:rsidRDefault="00000000" w:rsidP="00724B75">
      <w:pPr>
        <w:jc w:val="left"/>
      </w:pPr>
      <w:r>
        <w:rPr>
          <w:noProof/>
        </w:rPr>
        <w:drawing>
          <wp:anchor distT="0" distB="0" distL="114300" distR="114300" simplePos="0" relativeHeight="3" behindDoc="0" locked="0" layoutInCell="1" allowOverlap="1">
            <wp:simplePos x="0" y="0"/>
            <wp:positionH relativeFrom="page">
              <wp:align>center</wp:align>
            </wp:positionH>
            <wp:positionV relativeFrom="paragraph">
              <wp:posOffset>0</wp:posOffset>
            </wp:positionV>
            <wp:extent cx="5727700" cy="2489200"/>
            <wp:effectExtent l="0" t="0" r="0" b="0"/>
            <wp:wrapTopAndBottom/>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5727700" cy="2489200"/>
                    </a:xfrm>
                    <a:prstGeom prst="rect">
                      <a:avLst/>
                    </a:prstGeom>
                  </pic:spPr>
                </pic:pic>
              </a:graphicData>
            </a:graphic>
          </wp:anchor>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left"/>
      </w:pPr>
      <w:r>
        <w:t xml:space="preserve">그림 4는 마감 인지 시간 이동이 실행 가능 윈도우 안에서 탄소·지연 가중 점수가 최소인 슬롯을 선택하는 과정을 나타낸다.</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left"/>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left"/>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w:t>
      </w:r>
    </w:p>
    <w:p w14:paraId="34623256" w14:textId="77777777" w:rsidR="00CA0C2E" w:rsidRDefault="00CA0C2E" w:rsidP="00724B75">
      <w:pPr>
        <w:jc w:val="left"/>
      </w:pPr>
    </w:p>
    <w:p w14:paraId="3631D699" w14:textId="77777777" w:rsidR="00CA0C2E" w:rsidRDefault="00000000" w:rsidP="00724B75">
      <w:pPr>
        <w:jc w:val="left"/>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06A56BF1" w14:textId="77777777" w:rsidR="00CA0C2E" w:rsidRDefault="00CA0C2E" w:rsidP="00724B75">
      <w:pPr>
        <w:jc w:val="left"/>
      </w:pP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4D34B9DF" w14:textId="77777777" w:rsidR="00CA0C2E" w:rsidRDefault="00000000" w:rsidP="00724B75">
      <w:pPr>
        <w:jc w:val="left"/>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left"/>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left"/>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left"/>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left"/>
      </w:pPr>
    </w:p>
    <w:p w14:paraId="FD000002" w14:textId="77777777" w:rsidR="00CA0C2E" w:rsidRDefault="00000000" w:rsidP="00724B75">
      <w:pPr>
        <w:jc w:val="left"/>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left"/>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17건까지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left"/>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left"/>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left"/>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left"/>
      </w:pPr>
    </w:p>
    <w:p w14:paraId="P0000052" w14:textId="77777777" w:rsidR="00CA0C2E" w:rsidRDefault="00000000" w:rsidP="00724B75">
      <w:pPr>
        <w:jc w:val="left"/>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left"/>
      </w:pPr>
    </w:p>
    <w:p w14:paraId="P0000054" w14:textId="77777777" w:rsidR="00CA0C2E" w:rsidRDefault="00000000" w:rsidP="00724B75">
      <w:pPr>
        <w:jc w:val="left"/>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left"/>
      </w:pPr>
    </w:p>
    <w:p w14:paraId="P0000056" w14:textId="77777777" w:rsidR="00CA0C2E" w:rsidRDefault="00000000" w:rsidP="00724B75">
      <w:pPr>
        <w:jc w:val="left"/>
      </w:pPr>
      <w:r>
        <w:t xml:space="preserve">용량 스윕은 부하가 어느 리전에 몰리는지도 보여준다.</w:t>
      </w:r>
    </w:p>
    <w:p w14:paraId="P0000057" w14:textId="77777777" w:rsidR="00CA0C2E" w:rsidRDefault="00CA0C2E" w:rsidP="00724B75">
      <w:pPr>
        <w:jc w:val="left"/>
      </w:pPr>
    </w:p>
    <w:p w14:paraId="FE000002" w14:textId="77777777" w:rsidR="00CA0C2E" w:rsidRDefault="00000000" w:rsidP="00724B75">
      <w:pPr>
        <w:jc w:val="left"/>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left"/>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left"/>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left"/>
      </w:pPr>
    </w:p>
    <w:p w14:paraId="P000005B" w14:textId="77777777" w:rsidR="00CA0C2E" w:rsidRDefault="00000000" w:rsidP="00724B75">
      <w:pPr>
        <w:jc w:val="left"/>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left"/>
      </w:pPr>
    </w:p>
    <w:p w14:paraId="P000005D" w14:textId="77777777" w:rsidR="00CA0C2E" w:rsidRDefault="00000000" w:rsidP="00724B75">
      <w:pPr>
        <w:jc w:val="left"/>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left"/>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left"/>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left"/>
      </w:pPr>
    </w:p>
    <w:p w14:paraId="E6000012" w14:textId="77777777" w:rsidR="00CA0C2E" w:rsidRDefault="00000000" w:rsidP="00724B75">
      <w:pPr>
        <w:jc w:val="left"/>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left"/>
      </w:pPr>
    </w:p>
    <w:p w14:paraId="E6000013" w14:textId="77777777" w:rsidR="00CA0C2E" w:rsidRDefault="00000000" w:rsidP="00724B75">
      <w:pPr>
        <w:jc w:val="left"/>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left"/>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left"/>
      </w:pPr>
    </w:p>
    <w:p w14:paraId="52CA3887" w14:textId="77777777" w:rsidR="00CA0C2E" w:rsidRDefault="00000000" w:rsidP="00724B75">
      <w:pPr>
        <w:jc w:val="left"/>
      </w:pPr>
      <w:r>
        <w:t xml:space="preserve">공간 이동만으로 총 배출량이 56.85% 감소하고, 시간 이동만으로는 18.58%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left"/>
      </w:pPr>
    </w:p>
    <w:p w14:paraId="7243578A" w14:textId="77777777" w:rsidR="00CA0C2E" w:rsidRDefault="00000000" w:rsidP="00724B75">
      <w:pPr>
        <w:jc w:val="left"/>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left"/>
      </w:pPr>
    </w:p>
    <w:p w14:paraId="65F361F1" w14:textId="77777777" w:rsidR="00CA0C2E" w:rsidRDefault="00000000" w:rsidP="00724B75">
      <w:pPr>
        <w:jc w:val="left"/>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left"/>
      </w:pP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