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Malgun Gothic" w:hAnsi="Malgun Gothic" w:eastAsia="Malgun Gothic" w:cs="Malgun Gothic"/>
        </w:rPr>
        <w:t>제약영업회사 전략 보고서</w:t>
      </w:r>
    </w:p>
    <w:p>
      <w:pPr>
        <w:jc w:val="center"/>
      </w:pPr>
      <w:r>
        <w:rPr>
          <w:rFonts w:ascii="Malgun Gothic" w:hAnsi="Malgun Gothic" w:eastAsia="Malgun Gothic" w:cs="Malgun Gothic"/>
        </w:rPr>
        <w:t>생성일시: 2025-08-12 10:23:07</w:t>
      </w:r>
    </w:p>
    <w:p/>
    <w:p>
      <w:r>
        <w:rPr>
          <w:rFonts w:ascii="Malgun Gothic" w:hAnsi="Malgun Gothic" w:eastAsia="Malgun Gothic" w:cs="Malgun Gothic"/>
        </w:rPr>
        <w:t>```markdown</w:t>
      </w:r>
    </w:p>
    <w:p>
      <w:pPr>
        <w:pStyle w:val="Heading1"/>
      </w:pPr>
      <w:r>
        <w:rPr>
          <w:rFonts w:ascii="Malgun Gothic" w:hAnsi="Malgun Gothic" w:eastAsia="Malgun Gothic" w:cs="Malgun Gothic"/>
        </w:rPr>
        <w:t>제약영업회사 전략 보고서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1) 요약 (Executive Summary)</w:t>
      </w:r>
    </w:p>
    <w:p>
      <w:pPr>
        <w:pStyle w:val="Heading3"/>
      </w:pPr>
      <w:r>
        <w:rPr>
          <w:rFonts w:ascii="Malgun Gothic" w:hAnsi="Malgun Gothic" w:eastAsia="Malgun Gothic" w:cs="Malgun Gothic"/>
        </w:rPr>
        <w:t>이번 기간 핵심 3대 이슈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**건강보험 재정 적자:** 한국 건강보험의 누적 적자가 2033년까지 30~40조 원에 이를 것으로 예상됨. 보험료율 인상 및 급여비 효율화가 필수적이라는 의견이 제기됨.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**AI 의료제품 규제 심포지엄:** 국제 AI 의료제품 규제 심포지엄이 2025년 9월 인천에서 개최. 글로벌 기술 동향과 규제 조화 논의.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**글로벌 제약사 구조조정:** 노보 노디스크를 포함한 글로벌 제약사들이 전략 재편 중. GLP-1 시장 성장 둔화 대응.</w:t>
      </w:r>
    </w:p>
    <w:p/>
    <w:p>
      <w:pPr>
        <w:pStyle w:val="Heading3"/>
      </w:pPr>
      <w:r>
        <w:rPr>
          <w:rFonts w:ascii="Malgun Gothic" w:hAnsi="Malgun Gothic" w:eastAsia="Malgun Gothic" w:cs="Malgun Gothic"/>
        </w:rPr>
        <w:t>회사 직접 영향 3가지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**의료비용 증가:** 건강보험 적자 문제로 인해 고가약 등재가 어려워질 수 있음.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**AI 기술 활용 기회:** AI 규제 심포지엄을 통해 글로벌 규제 기준에 맞춘 AI 의료기기 개발 가능성 증가.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**경쟁 심화:** 글로벌 제약사들의 구조조정이 한국 시장 내 경쟁 심화로 이어질 가능성 있음.</w:t>
      </w:r>
    </w:p>
    <w:p/>
    <w:p>
      <w:pPr>
        <w:pStyle w:val="Heading3"/>
      </w:pPr>
      <w:r>
        <w:rPr>
          <w:rFonts w:ascii="Malgun Gothic" w:hAnsi="Malgun Gothic" w:eastAsia="Malgun Gothic" w:cs="Malgun Gothic"/>
        </w:rPr>
        <w:t>즉시 실행 과제 3가지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**보험 정책 대응:** 건강보험 재정안정화를 위한 보험료율 인상 및 급여비 효율화에 대비한 전략 수립.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**AI 규제 대응:** AI 의료제품 관련 글로벌 규제 동향을 모니터링하고, 제품 개발에 반영.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**경쟁 분석 강화:** 글로벌 제약사들의 구조조정 동향을 지속적으로 분석하여 경쟁력 강화 방안 마련.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2) 주요 뉴스 동향 클러스터 &amp; 우선순위 표</w:t>
      </w:r>
    </w:p>
    <w:p>
      <w:r>
        <w:rPr>
          <w:rFonts w:ascii="Malgun Gothic" w:hAnsi="Malgun Gothic" w:eastAsia="Malgun Gothic" w:cs="Malgun Gothic"/>
        </w:rPr>
        <w:t>| 클러스터명 | 대표뉴스 | 임팩트 | 시급성 | 확실성 | 난이도 | 점수 | 핵심 근거 | 트리거 |</w:t>
      </w:r>
      <w:r>
        <w:rPr>
          <w:rFonts w:ascii="Malgun Gothic" w:hAnsi="Malgun Gothic" w:eastAsia="Malgun Gothic" w:cs="Malgun Gothic"/>
        </w:rPr>
        <w:br/>
        <w:t>|------------|----------|--------|--------|--------|--------|------|-----------|--------|</w:t>
      </w:r>
      <w:r>
        <w:rPr>
          <w:rFonts w:ascii="Malgun Gothic" w:hAnsi="Malgun Gothic" w:eastAsia="Malgun Gothic" w:cs="Malgun Gothic"/>
        </w:rPr>
        <w:br/>
        <w:t>| 건강보험 재정 | ‘2033년 건보 적자 30~40조’ | 5 | 4 | 5 | 3 | 33.33 | 재정 적자 증가, 보험료율 인상 필요성 | 보험료 인상 정책 발표 |</w:t>
      </w:r>
      <w:r>
        <w:rPr>
          <w:rFonts w:ascii="Malgun Gothic" w:hAnsi="Malgun Gothic" w:eastAsia="Malgun Gothic" w:cs="Malgun Gothic"/>
        </w:rPr>
        <w:br/>
        <w:t>| AI 의료제품 | AIRIS 2025 규제 심포지엄 | 4 | 3 | 4 | 3 | 21.33 | 글로벌 규제 조화, AI 기술 발전 | 심포지엄 개최 |</w:t>
      </w:r>
      <w:r>
        <w:rPr>
          <w:rFonts w:ascii="Malgun Gothic" w:hAnsi="Malgun Gothic" w:eastAsia="Malgun Gothic" w:cs="Malgun Gothic"/>
        </w:rPr>
        <w:br/>
        <w:t>| 글로벌 구조조정 | 노보 노디스크 전략 재편 | 3 | 3 | 4 | 4 | 18.00 | 글로벌 시장 성장 둔화 | 경쟁사 리더십 변화 |</w:t>
      </w:r>
      <w:r>
        <w:rPr>
          <w:rFonts w:ascii="Malgun Gothic" w:hAnsi="Malgun Gothic" w:eastAsia="Malgun Gothic" w:cs="Malgun Gothic"/>
        </w:rPr>
        <w:br/>
        <w:t>| 소세포폐암 | 흡연 기여위험도 98.2% | 3 | 2 | 5 | 3 | 10.00 | 흡연이 암 발생에 미치는 영향 | 신규 연구 결과 발표 |</w:t>
      </w:r>
      <w:r>
        <w:rPr>
          <w:rFonts w:ascii="Malgun Gothic" w:hAnsi="Malgun Gothic" w:eastAsia="Malgun Gothic" w:cs="Malgun Gothic"/>
        </w:rPr>
        <w:br/>
        <w:t>| 치매 예방 특허 | 피코엔텍 미국 특허 획득 | 2 | 2 | 3 | 2 | 6.00 | 신경질환 치료제 개발 | 특허 등록 |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3) 제약영업 영향 분석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**정책/이슈 → 처방 → 매출 경로:** 건강보험 적자로 인해 보험료율 인상 및 급여비 효율화가 예고됨. 이는 고가의 신약 등재에 대한 심사가 강화될 가능성을 높이며, 신약 출시 지연으로 매출에 부정적 영향을 미칠 수 있음. 예상 매출 감소는 분기당 −2%~−5%로 추정됨.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4) 전략적 대응 방안 (기능별)</w:t>
      </w:r>
    </w:p>
    <w:p>
      <w:r>
        <w:rPr>
          <w:rFonts w:ascii="Malgun Gothic" w:hAnsi="Malgun Gothic" w:eastAsia="Malgun Gothic" w:cs="Malgun Gothic"/>
        </w:rPr>
        <w:t>| 기능 | 액션 | 담당 | 마감일 | KPI | 리스크 | 완화책 |</w:t>
      </w:r>
      <w:r>
        <w:rPr>
          <w:rFonts w:ascii="Malgun Gothic" w:hAnsi="Malgun Gothic" w:eastAsia="Malgun Gothic" w:cs="Malgun Gothic"/>
        </w:rPr>
        <w:br/>
        <w:t>|------|------|------|--------|-----|--------|--------|</w:t>
      </w:r>
      <w:r>
        <w:rPr>
          <w:rFonts w:ascii="Malgun Gothic" w:hAnsi="Malgun Gothic" w:eastAsia="Malgun Gothic" w:cs="Malgun Gothic"/>
        </w:rPr>
        <w:br/>
        <w:t>| Sales | 건강보험 변화 대응 전략 수립 | 김영업 | 2025-09-30 | 전략 완성 | 정책 변경 | 정부 발표 모니터링 |</w:t>
      </w:r>
      <w:r>
        <w:rPr>
          <w:rFonts w:ascii="Malgun Gothic" w:hAnsi="Malgun Gothic" w:eastAsia="Malgun Gothic" w:cs="Malgun Gothic"/>
        </w:rPr>
        <w:br/>
        <w:t>| Market Access | AI 규제 기준 반영 | 박접근 | 2025-11-30 | AI 제품 승인 | 규제 변경 | 규제 전문가 고용 |</w:t>
      </w:r>
      <w:r>
        <w:rPr>
          <w:rFonts w:ascii="Malgun Gothic" w:hAnsi="Malgun Gothic" w:eastAsia="Malgun Gothic" w:cs="Malgun Gothic"/>
        </w:rPr>
        <w:br/>
        <w:t>| Medical | GLP-1 시장 분석 | 이의학 | 2025-10-15 | 보고서 제출 | 시장 변동성 | 다각적 분석 |</w:t>
      </w:r>
      <w:r>
        <w:rPr>
          <w:rFonts w:ascii="Malgun Gothic" w:hAnsi="Malgun Gothic" w:eastAsia="Malgun Gothic" w:cs="Malgun Gothic"/>
        </w:rPr>
        <w:br/>
        <w:t>| Regulatory | 보험료율 인상 대응 | 최규제 | 2025-09-01 | 대응 계획 수립 | 정책 불확실성 | 보험 전문가 자문 |</w:t>
      </w:r>
      <w:r>
        <w:rPr>
          <w:rFonts w:ascii="Malgun Gothic" w:hAnsi="Malgun Gothic" w:eastAsia="Malgun Gothic" w:cs="Malgun Gothic"/>
        </w:rPr>
        <w:br/>
        <w:t>| Marketing | 글로벌 제약사 동향 분석 | 장마케팅 | 2025-12-01 | 경쟁사 분석 보고서 | 데이터 부족 | 외부 리서치 활용 |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5) 리스크 &amp; 트리거 보드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**리스크:** 건강보험 정책 변화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발생확률: H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영향: H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조기신호: 보험료 인상 발표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완화책: 정책 대응팀 조직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**주요 일정 캘린더:**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2025-09-10: AIRIS 2025 심포지엄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2025-09-30: 건강보험 정책 발표 예정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6) 시나리오 (베이스/불리/유리)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**베이스 시나리오:** 매출 −2%~−5%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보험료 인상 및 급여비 효율화가 추진되나, 고가약 등재 일부 성공.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**불리 시나리오:** 매출 −5%~−8%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급여비 효율화로 고가약 등재 지연 및 매출 감소.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**유리 시나리오:** 매출 −1%~−2%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의료제품 규제 완화로 신제품 출시 가속화.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7) 최종 의사결정 권고안 (Final Strategic Recommendation)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**최우선 솔루션:** 건강보험 정책에 따른 시장 변화 대응 체계 구축.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**실행 계획:**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1개월: 정책 분석팀 구성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3개월: 시장 영향 분석 및 대응 전략 수립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6개월: 전략 실행 및 성과 평가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**보조 옵션:**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AI 기술을 활용한 제품 포트폴리오 확대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글로벌 제약사와의 파트너십 강화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**승인 필요 사항:** 경영진 예산 승인, 정책 대응팀 조직 변경</w:t>
      </w:r>
    </w:p>
    <w:p/>
    <w:p>
      <w:pPr>
        <w:pStyle w:val="Heading2"/>
      </w:pPr>
      <w:r>
        <w:rPr>
          <w:rFonts w:ascii="Malgun Gothic" w:hAnsi="Malgun Gothic" w:eastAsia="Malgun Gothic" w:cs="Malgun Gothic"/>
        </w:rPr>
        <w:t>8) 출처 매핑 &amp; 신뢰도</w:t>
      </w:r>
    </w:p>
    <w:p>
      <w:pPr>
        <w:pStyle w:val="ListBullet"/>
      </w:pPr>
      <w:r>
        <w:rPr>
          <w:rFonts w:ascii="Malgun Gothic" w:hAnsi="Malgun Gothic" w:eastAsia="Malgun Gothic" w:cs="Malgun Gothic"/>
        </w:rPr>
        <w:t>뉴스 ID별 출처 및 신뢰도는 별도 문서 참고.</w:t>
      </w:r>
    </w:p>
    <w:p>
      <w:r>
        <w:rPr>
          <w:rFonts w:ascii="Malgun Gothic" w:hAnsi="Malgun Gothic" w:eastAsia="Malgun Gothic" w:cs="Malgun Gothic"/>
        </w:rPr>
        <w:t>```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 w:cs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