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Explicit</w:t>
      </w:r>
      <w:r>
        <w:t xml:space="preserve"> </w:t>
      </w:r>
      <w:r>
        <w:t xml:space="preserve">Notch–proneural</w:t>
      </w:r>
      <w:r>
        <w:t xml:space="preserve"> </w:t>
      </w:r>
      <w:r>
        <w:t xml:space="preserve">dynamics</w:t>
      </w:r>
      <w:r>
        <w:t xml:space="preserve"> </w:t>
      </w:r>
      <w:r>
        <w:t xml:space="preserve">set</w:t>
      </w:r>
      <w:r>
        <w:t xml:space="preserve"> </w:t>
      </w:r>
      <w:r>
        <w:t xml:space="preserve">the</w:t>
      </w:r>
      <w:r>
        <w:t xml:space="preserve"> </w:t>
      </w:r>
      <w:r>
        <w:t xml:space="preserve">tempo,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onset,</w:t>
      </w:r>
      <w:r>
        <w:t xml:space="preserve"> </w:t>
      </w:r>
      <w:r>
        <w:t xml:space="preserve">of</w:t>
      </w:r>
      <w:r>
        <w:t xml:space="preserve"> </w:t>
      </w:r>
      <w:r>
        <w:t xml:space="preserve">lateral-inhibition</w:t>
      </w:r>
      <w:r>
        <w:t xml:space="preserve"> </w:t>
      </w:r>
      <w:r>
        <w:t xml:space="preserve">patterning</w:t>
      </w:r>
    </w:p>
    <w:p>
      <w:pPr>
        <w:pStyle w:val="Author"/>
      </w:pPr>
      <w:r>
        <w:t xml:space="preserve">Hyeonje</w:t>
      </w:r>
      <w:r>
        <w:t xml:space="preserve"> </w:t>
      </w:r>
      <w:r>
        <w:t xml:space="preserve">Yang</w:t>
      </w:r>
    </w:p>
    <w:p>
      <w:pPr>
        <w:pStyle w:val="Date"/>
      </w:pP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Biological</w:t>
      </w:r>
      <w:r>
        <w:t xml:space="preserve"> </w:t>
      </w:r>
      <w:r>
        <w:t xml:space="preserve">Sciences,</w:t>
      </w:r>
      <w:r>
        <w:t xml:space="preserve"> </w:t>
      </w:r>
      <w:r>
        <w:t xml:space="preserve">Seoul</w:t>
      </w:r>
      <w:r>
        <w:t xml:space="preserve"> </w:t>
      </w:r>
      <w:r>
        <w:t xml:space="preserve">National</w:t>
      </w:r>
      <w:r>
        <w:t xml:space="preserve"> </w:t>
      </w:r>
      <w:r>
        <w:t xml:space="preserve">University,</w:t>
      </w:r>
      <w:r>
        <w:t xml:space="preserve"> </w:t>
      </w:r>
      <w:r>
        <w:t xml:space="preserve">Seoul,</w:t>
      </w:r>
      <w:r>
        <w:t xml:space="preserve"> </w:t>
      </w:r>
      <w:r>
        <w:t xml:space="preserve">Republic</w:t>
      </w:r>
      <w:r>
        <w:t xml:space="preserve"> </w:t>
      </w:r>
      <w:r>
        <w:t xml:space="preserve">of</w:t>
      </w:r>
      <w:r>
        <w:t xml:space="preserve"> </w:t>
      </w:r>
      <w:r>
        <w:t xml:space="preserve">Korea</w:t>
      </w:r>
      <w:r>
        <w:t xml:space="preserve"> </w:t>
      </w:r>
      <w:r>
        <w:t xml:space="preserve">(yanghj0206@snu.ac.kr).</w:t>
      </w:r>
      <w:r>
        <w:t xml:space="preserve"> </w:t>
      </w:r>
      <w:r>
        <w:t xml:space="preserve">Revised</w:t>
      </w:r>
      <w:r>
        <w:t xml:space="preserve"> </w:t>
      </w:r>
      <w:r>
        <w:t xml:space="preserve">manuscript</w:t>
      </w:r>
      <w:r>
        <w:t xml:space="preserve"> </w:t>
      </w:r>
      <w:r>
        <w:t xml:space="preserve">draft,</w:t>
      </w:r>
      <w:r>
        <w:t xml:space="preserve"> </w:t>
      </w:r>
      <w:r>
        <w:t xml:space="preserve">October</w:t>
      </w:r>
      <w:r>
        <w:t xml:space="preserve"> </w:t>
      </w:r>
      <w:r>
        <w:t xml:space="preserve">2026.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Lateral inhibition through Notch–Delta signalling turns small differences between neighbouring</w:t>
      </w:r>
      <w:r>
        <w:t xml:space="preserve"> </w:t>
      </w:r>
      <w:r>
        <w:t xml:space="preserve">cells into alternating cell states. Most models compress the steps downstream of Notch</w:t>
      </w:r>
      <w:r>
        <w:t xml:space="preserve"> </w:t>
      </w:r>
      <w:r>
        <w:t xml:space="preserve">activation into one or two effective variables. We ask which predictions change when the</w:t>
      </w:r>
      <w:r>
        <w:t xml:space="preserve"> </w:t>
      </w:r>
      <w:r>
        <w:t xml:space="preserve">activated-Notch and proneural steps are kept as separate dynamical variables. Our model has four</w:t>
      </w:r>
      <w:r>
        <w:t xml:space="preserve"> </w:t>
      </w:r>
      <w:r>
        <w:t xml:space="preserve">variables per cell: Delta, Notch receptor, activated Notch, and proneural activity. Cells sit on a</w:t>
      </w:r>
      <w:r>
        <w:t xml:space="preserve"> </w:t>
      </w:r>
      <w:r>
        <w:t xml:space="preserve">periodic six-neighbour contact lattice. We prove that the homogeneous steady state is unique for</w:t>
      </w:r>
      <w:r>
        <w:t xml:space="preserve"> </w:t>
      </w:r>
      <w:r>
        <w:t xml:space="preserve">all positive parameters. We also prove that the static (zero-frequency) gain of the feedback loop</w:t>
      </w:r>
      <w:r>
        <w:t xml:space="preserve"> </w:t>
      </w:r>
      <w:r>
        <w:t xml:space="preserve">is always largest for the three-sublattice spatial mode, so this mode is the only one that can</w:t>
      </w:r>
      <w:r>
        <w:t xml:space="preserve"> </w:t>
      </w:r>
      <w:r>
        <w:t xml:space="preserve">lose stability first through a zero eigenvalue. These onset properties depend only on static</w:t>
      </w:r>
      <w:r>
        <w:t xml:space="preserve"> </w:t>
      </w:r>
      <w:r>
        <w:t xml:space="preserve">input–output responses. Collapsing the proneural layer, or both downstream layers, by</w:t>
      </w:r>
      <w:r>
        <w:t xml:space="preserve"> </w:t>
      </w:r>
      <w:r>
        <w:t xml:space="preserve">quasi-steady-state elimination therefore leaves the stationary instability boundary exactly</w:t>
      </w:r>
      <w:r>
        <w:t xml:space="preserve"> </w:t>
      </w:r>
      <w:r>
        <w:t xml:space="preserve">unchanged. What the explicit layer changes is the dynamics. Rescaling the proneural turnover</w:t>
      </w:r>
      <w:r>
        <w:t xml:space="preserve"> </w:t>
      </w:r>
      <w:r>
        <w:t xml:space="preserve">rate leaves the critical Notch production rate fixed while the pattern growth rate varies over</w:t>
      </w:r>
      <w:r>
        <w:t xml:space="preserve"> </w:t>
      </w:r>
      <w:r>
        <w:t xml:space="preserve">three decades. Across a 4000-point Latin-hypercube parameter sample, the reduced model</w:t>
      </w:r>
      <w:r>
        <w:t xml:space="preserve"> </w:t>
      </w:r>
      <w:r>
        <w:t xml:space="preserve">overestimates the growth rate at every unstable point (median 4.9-fold) and predicts</w:t>
      </w:r>
      <w:r>
        <w:t xml:space="preserve"> </w:t>
      </w:r>
      <w:r>
        <w:t xml:space="preserve">instabilities absent from the full model. Twelve sampled points are unstable even though the</w:t>
      </w:r>
      <w:r>
        <w:t xml:space="preserve"> </w:t>
      </w:r>
      <w:r>
        <w:t xml:space="preserve">static gain is below one. Each has two eigenvalues in the right half-plane, which a Nyquist test</w:t>
      </w:r>
      <w:r>
        <w:t xml:space="preserve"> </w:t>
      </w:r>
      <w:r>
        <w:t xml:space="preserve">detects and a static test cannot. Patterning onset is thus a static property of the circuit,</w:t>
      </w:r>
      <w:r>
        <w:t xml:space="preserve"> </w:t>
      </w:r>
      <w:r>
        <w:t xml:space="preserve">while its tempo is set by the slowest downstream step.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In lateral inhibition, Delta on one cell activates Notch on its neighbours, and Notch signalling</w:t>
      </w:r>
      <w:r>
        <w:t xml:space="preserve"> </w:t>
      </w:r>
      <w:r>
        <w:t xml:space="preserve">represses the proneural activity that drives Delta expression. Small differences between</w:t>
      </w:r>
      <w:r>
        <w:t xml:space="preserve"> </w:t>
      </w:r>
      <w:r>
        <w:t xml:space="preserve">adjacent cells are amplified into a spatial pattern of signal-sending and signal-receiving</w:t>
      </w:r>
      <w:r>
        <w:t xml:space="preserve"> </w:t>
      </w:r>
      <w:r>
        <w:t xml:space="preserve">states [1, 2]. In</w:t>
      </w:r>
      <w:r>
        <w:t xml:space="preserve"> </w:t>
      </w:r>
      <w:r>
        <w:rPr>
          <w:iCs/>
          <w:i/>
        </w:rPr>
        <w:t xml:space="preserve">Drosophila</w:t>
      </w:r>
      <w:r>
        <w:t xml:space="preserve"> </w:t>
      </w:r>
      <w:r>
        <w:t xml:space="preserve">sensory-organ development this antagonism acts through</w:t>
      </w:r>
      <w:r>
        <w:t xml:space="preserve"> </w:t>
      </w:r>
      <w:r>
        <w:t xml:space="preserve">Achaete–Scute proneural self-stimulation and Notch/Enhancer-of-split repression [3–6].</w:t>
      </w:r>
    </w:p>
    <w:p>
      <w:pPr>
        <w:pStyle w:val="BodyText"/>
      </w:pPr>
      <w:r>
        <w:t xml:space="preserve">Mathematical models of this process usually compress everything downstream of</w:t>
      </w:r>
      <w:r>
        <w:t xml:space="preserve"> </w:t>
      </w:r>
      <w:r>
        <w:t xml:space="preserve">receptor–ligand binding into one or two effective variables, such as a</w:t>
      </w:r>
      <w:r>
        <w:t xml:space="preserve"> </w:t>
      </w:r>
      <w:r>
        <w:t xml:space="preserve">“</w:t>
      </w:r>
      <w:r>
        <w:t xml:space="preserve">Notch activity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directly represses Delta [1, 7–9]. For such models, the conditions under which the homogeneous</w:t>
      </w:r>
      <w:r>
        <w:t xml:space="preserve"> </w:t>
      </w:r>
      <w:r>
        <w:t xml:space="preserve">state loses stability are well understood. The coupled system is decomposed into eigenmodes of</w:t>
      </w:r>
      <w:r>
        <w:t xml:space="preserve"> </w:t>
      </w:r>
      <w:r>
        <w:t xml:space="preserve">the cell-contact graph, and each mode is tested separately [1, 10, 13]. Equivalently, instability</w:t>
      </w:r>
      <w:r>
        <w:t xml:space="preserve"> </w:t>
      </w:r>
      <w:r>
        <w:t xml:space="preserve">of a mode follows from a static (zero-frequency) input–output gain of a single cell multiplied by</w:t>
      </w:r>
      <w:r>
        <w:t xml:space="preserve"> </w:t>
      </w:r>
      <w:r>
        <w:t xml:space="preserve">the corresponding graph eigenvalue [11, 12]. On the triangular contact graph of a hexagonal</w:t>
      </w:r>
      <w:r>
        <w:t xml:space="preserve"> </w:t>
      </w:r>
      <w:r>
        <w:t xml:space="preserve">tissue, the most negative graph eigenvalue belongs to a three-sublattice pattern, not a</w:t>
      </w:r>
      <w:r>
        <w:t xml:space="preserve"> </w:t>
      </w:r>
      <w:r>
        <w:t xml:space="preserve">checkerboard [13]. Two-dimensional contact coupling has also been analysed directly [14].</w:t>
      </w:r>
    </w:p>
    <w:p>
      <w:pPr>
        <w:pStyle w:val="BodyText"/>
      </w:pPr>
      <w:r>
        <w:t xml:space="preserve">These results leave a question open. When the activated-Notch and proneural steps are kept as</w:t>
      </w:r>
      <w:r>
        <w:t xml:space="preserve"> </w:t>
      </w:r>
      <w:r>
        <w:t xml:space="preserve">separate dynamical variables, which predictions actually differ from those of a reduced model?</w:t>
      </w:r>
      <w:r>
        <w:t xml:space="preserve"> </w:t>
      </w:r>
      <w:r>
        <w:t xml:space="preserve">Retaining more variables gives more parameters to vary. It does not by itself show that the</w:t>
      </w:r>
      <w:r>
        <w:t xml:space="preserve"> </w:t>
      </w:r>
      <w:r>
        <w:t xml:space="preserve">extra dynamics matter for patterning.</w:t>
      </w:r>
    </w:p>
    <w:p>
      <w:pPr>
        <w:pStyle w:val="BodyText"/>
      </w:pPr>
      <w:r>
        <w:t xml:space="preserve">We answer this question for a four-variable Delta–Notch–activated-Notch–proneural model. We do</w:t>
      </w:r>
      <w:r>
        <w:t xml:space="preserve"> </w:t>
      </w:r>
      <w:r>
        <w:t xml:space="preserve">not claim the stability machinery as new. The factorisation of each mode’s characteristic</w:t>
      </w:r>
      <w:r>
        <w:t xml:space="preserve"> </w:t>
      </w:r>
      <w:r>
        <w:t xml:space="preserve">polynomial into a static loop gain (Section 3.1) is a standard Schur-complement identity, and it</w:t>
      </w:r>
      <w:r>
        <w:t xml:space="preserve"> </w:t>
      </w:r>
      <w:r>
        <w:t xml:space="preserve">is equivalent to the graph-based static-gain conditions of [11, 12]. We use it to separate</w:t>
      </w:r>
      <w:r>
        <w:t xml:space="preserve"> </w:t>
      </w:r>
      <w:r>
        <w:t xml:space="preserve">predictions that depend only on static responses from predictions that depend on downstream</w:t>
      </w:r>
      <w:r>
        <w:t xml:space="preserve"> </w:t>
      </w:r>
      <w:r>
        <w:t xml:space="preserve">timescales. Four results follow: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Uniqueness.</w:t>
      </w:r>
      <w:r>
        <w:t xml:space="preserve"> </w:t>
      </w:r>
      <w:r>
        <w:t xml:space="preserve">The homogeneous steady state is unique for every positive parameter 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 selection.</w:t>
      </w:r>
      <w:r>
        <w:t xml:space="preserve"> </w:t>
      </w:r>
      <w:r>
        <w:t xml:space="preserve">The static loop gain is largest at the most negative graph eigenvalue for</w:t>
      </w:r>
      <w:r>
        <w:t xml:space="preserve"> </w:t>
      </w:r>
      <w:r>
        <w:t xml:space="preserve">every parameter set. Stationary onset therefore always selects the three-sublattice mode,</w:t>
      </w:r>
      <w:r>
        <w:t xml:space="preserve"> </w:t>
      </w:r>
      <w:r>
        <w:t xml:space="preserve">even though cis inhibition and trans depletion of ligand make the gain a non-trivial function</w:t>
      </w:r>
      <w:r>
        <w:t xml:space="preserve"> </w:t>
      </w:r>
      <w:r>
        <w:t xml:space="preserve">of the mode.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Shared onset.</w:t>
      </w:r>
      <w:r>
        <w:t xml:space="preserve"> </w:t>
      </w:r>
      <w:r>
        <w:t xml:space="preserve">Any matched reduction that slaves the downstream layer to quasi-steady state</w:t>
      </w:r>
      <w:r>
        <w:t xml:space="preserve"> </w:t>
      </w:r>
      <w:r>
        <w:t xml:space="preserve">has the same stationary boundary as the explicit model.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Different dynamics.</w:t>
      </w:r>
      <w:r>
        <w:t xml:space="preserve"> </w:t>
      </w:r>
      <w:r>
        <w:t xml:space="preserve">The explicit layer changes the pattern growth rate, often by large</w:t>
      </w:r>
      <w:r>
        <w:t xml:space="preserve"> </w:t>
      </w:r>
      <w:r>
        <w:t xml:space="preserve">factors, and changes the set of instabilities that do not pass through a zero eigenvalue.</w:t>
      </w:r>
      <w:r>
        <w:t xml:space="preserve"> </w:t>
      </w:r>
      <w:r>
        <w:t xml:space="preserve">We identify the sampled parameter sets at which a static test fails, and explain each one.</w:t>
      </w:r>
    </w:p>
    <w:bookmarkEnd w:id="21"/>
    <w:bookmarkStart w:id="25" w:name="model-and-spatial-modes"/>
    <w:p>
      <w:pPr>
        <w:pStyle w:val="Heading1"/>
      </w:pPr>
      <w:r>
        <w:t xml:space="preserve">2. Model and spatial modes</w:t>
      </w:r>
    </w:p>
    <w:bookmarkStart w:id="22" w:name="equations"/>
    <w:p>
      <w:pPr>
        <w:pStyle w:val="Heading2"/>
      </w:pPr>
      <w:r>
        <w:t xml:space="preserve">2.1 Equations</w:t>
      </w:r>
    </w:p>
    <w:p>
      <w:pPr>
        <w:pStyle w:val="FirstParagraph"/>
      </w:pPr>
      <w:r>
        <w:t xml:space="preserve">Each cell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carries four concentrations: Delta ligand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 Notch receptor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 activated</w:t>
      </w:r>
      <w:r>
        <w:t xml:space="preserve"> </w:t>
      </w:r>
      <w:r>
        <w:t xml:space="preserve">Notch (NICD-like signalling activity)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 and proneural activity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 All are</w:t>
      </w:r>
      <w:r>
        <w:t xml:space="preserve"> </w:t>
      </w:r>
      <w:r>
        <w:t xml:space="preserve">dimensionless, as is time</w:t>
      </w:r>
      <w:r>
        <w:t xml:space="preserve"> </w:t>
      </w:r>
      <m:oMath>
        <m:r>
          <m:t>t</m:t>
        </m:r>
      </m:oMath>
      <w:r>
        <w:t xml:space="preserve">. The dynamics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acc>
                      <m:accPr>
                        <m:chr m:val="̇"/>
                      </m:accPr>
                      <m:e>
                        <m:r>
                          <m:t>D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D</m:t>
                    </m:r>
                  </m:sub>
                </m:sSub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d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f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acc>
                      <m:accPr>
                        <m:chr m:val="̇"/>
                      </m:accPr>
                      <m:e>
                        <m:r>
                          <m:t>N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d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f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t>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acc>
                      <m:accPr>
                        <m:chr m:val="̇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d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t> </m:t>
                </m:r>
                <m:sSub>
                  <m:e>
                    <m:r>
                      <m:t>s</m:t>
                    </m:r>
                  </m:e>
                  <m:sub>
                    <m:r>
                      <m:t>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d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λ</m:t>
                    </m:r>
                  </m:e>
                  <m:sub>
                    <m:r>
                      <m:t>S</m:t>
                    </m:r>
                  </m:sub>
                </m:sSub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</m:m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j</m:t>
            </m:r>
            <m:r>
              <m:rPr>
                <m:sty m:val="p"/>
              </m:rPr>
              <m:t>∼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j</m:t>
            </m:r>
            <m:r>
              <m:rPr>
                <m:sty m:val="p"/>
              </m:rPr>
              <m:t>∼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sums over the six</w:t>
      </w:r>
      <w:r>
        <w:t xml:space="preserve"> </w:t>
      </w:r>
      <w:r>
        <w:t xml:space="preserve">contact neighbours of cell</w:t>
      </w:r>
      <w:r>
        <w:t xml:space="preserve"> </w:t>
      </w:r>
      <m:oMath>
        <m:r>
          <m:t>i</m:t>
        </m:r>
      </m:oMath>
      <w:r>
        <w:t xml:space="preserve">. The production terms use Hill functions: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is increasing (proneural activity drives Delta) and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is decreasing (activated Notch represses proneural activity).</w:t>
      </w:r>
    </w:p>
    <w:p>
      <w:pPr>
        <w:pStyle w:val="BodyText"/>
      </w:pPr>
      <w:r>
        <w:t xml:space="preserve">The 13 positive parameters are: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S</m:t>
            </m:r>
          </m:sub>
        </m:sSub>
      </m:oMath>
      <w:r>
        <w:t xml:space="preserve">: maximal production rates of Delta, Notch and proneural activity;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d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: first-order loss rates;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: trans activation of Notch by neighbouring Delta, which consumes the receptor and produces</w:t>
      </w:r>
      <w:r>
        <w:t xml:space="preserve"> </w:t>
      </w:r>
      <m:oMath>
        <m:r>
          <m:t>A</m:t>
        </m:r>
      </m:oMath>
      <w:r>
        <w:t xml:space="preserve">;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f</m:t>
            </m:r>
          </m:e>
          <m:sub>
            <m:r>
              <m:t>D</m:t>
            </m:r>
          </m:sub>
        </m:sSub>
      </m:oMath>
      <w:r>
        <w:t xml:space="preserve">: trans depletion of Delta by neighbouring Notch;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: cis mutual inactivation of Notch and Delta in the same cell;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: the half-saturation constant shared by both Hill functions;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: the Hill coefficients.</w:t>
      </w:r>
    </w:p>
    <w:p>
      <w:pPr>
        <w:pStyle w:val="FirstParagraph"/>
      </w:pPr>
      <w:r>
        <w:t xml:space="preserve">The baseline parameter set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(Table 1) is a literature-inspired operating point that is not</w:t>
      </w:r>
      <w:r>
        <w:t xml:space="preserve"> </w:t>
      </w:r>
      <w:r>
        <w:t xml:space="preserve">fitted to a particular tissue. The main continuation parameter is the Notch production rate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, with all other parameters held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. We refer to three reference points: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P2 (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 and P3 (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5.623</m:t>
        </m:r>
      </m:oMath>
      <w:r>
        <w:t xml:space="preserve">).</w:t>
      </w:r>
    </w:p>
    <w:bookmarkEnd w:id="22"/>
    <w:bookmarkStart w:id="23" w:name="contact-graph-and-spatial-modes"/>
    <w:p>
      <w:pPr>
        <w:pStyle w:val="Heading2"/>
      </w:pPr>
      <w:r>
        <w:t xml:space="preserve">2.2 Contact graph and spatial modes</w:t>
      </w:r>
    </w:p>
    <w:p>
      <w:pPr>
        <w:pStyle w:val="FirstParagraph"/>
      </w:pPr>
      <w:r>
        <w:t xml:space="preserve">Cells occupy a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periodic array. Cell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contacts the six cells at offsets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which is the contact graph of a hexagonal</w:t>
      </w:r>
      <w:r>
        <w:t xml:space="preserve"> </w:t>
      </w:r>
      <w:r>
        <w:t xml:space="preserve">tiling (Fig. 1B).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adjacency matrix of this graph (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cells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touch). Because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symmetric and every cell has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neighbours, its eigenvalues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]</m:t>
        </m:r>
      </m:oMath>
      <w:r>
        <w:t xml:space="preserve">. Its eigenvectors are plane waves indexed by integers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&lt;</m:t>
        </m:r>
        <m:r>
          <m:t>24</m:t>
        </m:r>
      </m:oMath>
      <w:r>
        <w:t xml:space="preserve">, with</w:t>
      </w:r>
      <w:r>
        <w:t xml:space="preserve"> </w:t>
      </w:r>
      <w:r>
        <w:t xml:space="preserve">wavevector components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t>m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t>n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cos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nor/>
              <m:sty m:val="p"/>
            </m:rPr>
            <m:t>cos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nor/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(Fig. 1D). The uniform mode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. The minimum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occurs only at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. The real combinations of these two plane waves divide the lattice</w:t>
      </w:r>
      <w:r>
        <w:t xml:space="preserve"> </w:t>
      </w:r>
      <w:r>
        <w:t xml:space="preserve">into three interpenetrating sublattices (Fig. 1C). On this non-bipartite graph, this</w:t>
      </w:r>
      <w:r>
        <w:t xml:space="preserve"> </w:t>
      </w:r>
      <w:r>
        <w:t xml:space="preserve">three-sublattice pattern plays the role that a checkerboard plays on a square lattice [13].</w:t>
      </w:r>
    </w:p>
    <w:p>
      <w:pPr>
        <w:pStyle w:val="BodyText"/>
      </w:pP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be a homogeneous steady state of (1). A perturbation of the form</w:t>
      </w:r>
      <w:r>
        <w:t xml:space="preserve"> </w:t>
      </w:r>
      <m:oMath>
        <m: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 </m:t>
        </m:r>
        <m:r>
          <m:t>ξ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eigenvalue</w:t>
      </w:r>
      <w:r>
        <w:t xml:space="preserve"> </w:t>
      </w:r>
      <m:oMath>
        <m:r>
          <m:t>μ</m:t>
        </m:r>
      </m:oMath>
      <w:r>
        <w:t xml:space="preserve">, obeys</w:t>
      </w:r>
      <w:r>
        <w:t xml:space="preserve"> </w:t>
      </w:r>
      <m:oMath>
        <m:acc>
          <m:accPr>
            <m:chr m:val="̇"/>
          </m:accPr>
          <m:e>
            <m:r>
              <m:t>ξ</m:t>
            </m:r>
          </m:e>
        </m:acc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μ</m:t>
            </m:r>
          </m:sub>
        </m:sSub>
        <m:r>
          <m:t>ξ</m:t>
        </m:r>
      </m:oMath>
      <w:r>
        <w:t xml:space="preserve"> </w:t>
      </w:r>
      <w:r>
        <w:t xml:space="preserve">with 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(Methods, Eq. 6). The neighbour sums enter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only through</w:t>
      </w:r>
      <w:r>
        <w:t xml:space="preserve"> </w:t>
      </w:r>
      <m:oMath>
        <m:r>
          <m:t>μ</m:t>
        </m:r>
      </m:oMath>
      <w:r>
        <w:t xml:space="preserve">, so the stability of the 2304-dimensional lattice linearisation</w:t>
      </w:r>
      <w:r>
        <w:t xml:space="preserve"> </w:t>
      </w:r>
      <w:r>
        <w:t xml:space="preserve">reduces to the eigenvalues of one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block per distinct graph eigenvalue. There are 54</w:t>
      </w:r>
      <w:r>
        <w:t xml:space="preserve"> </w:t>
      </w:r>
      <w:r>
        <w:t xml:space="preserve">distinct values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lattice. We write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μ</m:t>
              </m:r>
              <m:r>
                <m:rPr>
                  <m:sty m:val="p"/>
                </m:rPr>
                <m:t>≠</m:t>
              </m:r>
              <m:r>
                <m:t>6</m:t>
              </m:r>
            </m:lim>
          </m:limLow>
          <m:r>
            <m:t> </m:t>
          </m:r>
          <m:r>
            <m:rPr>
              <m:nor/>
              <m:sty m:val="p"/>
            </m:rPr>
            <m:t>max</m:t>
          </m:r>
          <m:r>
            <m:t> 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t> 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sSub>
            <m:e>
              <m:r>
                <m:t>J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the growth rate of the fastest nonuniform mode. The homogeneous state is unstable to</w:t>
      </w:r>
      <w:r>
        <w:t xml:space="preserve"> </w:t>
      </w:r>
      <w:r>
        <w:t xml:space="preserve">spatial patterning when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"/>
    <w:bookmarkStart w:id="24" w:name="the-homogeneous-steady-state-is-unique"/>
    <w:p>
      <w:pPr>
        <w:pStyle w:val="Heading2"/>
      </w:pPr>
      <w:r>
        <w:t xml:space="preserve">2.3 The homogeneous steady state is unique</w:t>
      </w:r>
    </w:p>
    <w:p>
      <w:pPr>
        <w:pStyle w:val="FirstParagraph"/>
      </w:pPr>
      <w:r>
        <w:t xml:space="preserve">At a homogeneous state,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  <m:r>
          <m:t>N</m:t>
        </m:r>
      </m:oMath>
      <w:r>
        <w:t xml:space="preserve">. Solving the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equations in turn</w:t>
      </w:r>
      <w:r>
        <w:t xml:space="preserve"> </w:t>
      </w:r>
      <w:r>
        <w:t xml:space="preserve">expresses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monotone functions of</w:t>
      </w:r>
      <w:r>
        <w:t xml:space="preserve"> </w:t>
      </w:r>
      <m:oMath>
        <m:r>
          <m:t>D</m:t>
        </m:r>
      </m:oMath>
      <w:r>
        <w:t xml:space="preserve">, and the steady state is a root 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r>
                      <m:t>h</m:t>
                    </m:r>
                  </m:e>
                  <m:sub>
                    <m:r>
                      <m:t>D</m:t>
                    </m:r>
                  </m:sub>
                </m:sSub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t> </m:t>
                </m:r>
                <m:r>
                  <m:rPr>
                    <m:sty m:val="p"/>
                  </m:rPr>
                  <m:t>[</m:t>
                </m:r>
                <m:r>
                  <m:t> </m:t>
                </m:r>
                <m:sSub>
                  <m:e>
                    <m:r>
                      <m:t>d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sSub>
                  <m:e>
                    <m:r>
                      <m:t>f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sSub>
                      <m:e>
                        <m:r>
                          <m:t>d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sSub>
                      <m:e>
                        <m:r>
                          <m:t>d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S</m:t>
                    </m:r>
                  </m:sub>
                </m:sSub>
                <m:r>
                  <m:t>​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</m:num>
                  <m:den>
                    <m:sSub>
                      <m:e>
                        <m:r>
                          <m:t>d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e>
            </m:mr>
          </m:m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F</m:t>
        </m:r>
      </m:oMath>
      <w:r>
        <w:t xml:space="preserve"> </w:t>
      </w:r>
      <w:r>
        <w:t xml:space="preserve">is strictly decreasing,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(Supplementary Note 1).</w:t>
      </w:r>
      <w:r>
        <w:t xml:space="preserve"> </w:t>
      </w:r>
      <w:r>
        <w:rPr>
          <w:bCs/>
          <w:b/>
        </w:rPr>
        <w:t xml:space="preserve">For every positive parameter set the homogeneous steady state therefore exists, is unique, and</w:t>
      </w:r>
      <w:r>
        <w:rPr>
          <w:bCs/>
          <w:b/>
        </w:rPr>
        <w:t xml:space="preserve"> </w:t>
      </w:r>
      <w:r>
        <w:rPr>
          <w:bCs/>
          <w:b/>
        </w:rPr>
        <w:t xml:space="preserve">lies in</w:t>
      </w:r>
      <w:r>
        <w:rPr>
          <w:bCs/>
          <w:b/>
        </w:rP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&lt;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D</m:t>
            </m:r>
          </m:sub>
        </m:sSub>
      </m:oMath>
      <w:r>
        <w:rPr>
          <w:bCs/>
          <w:b/>
        </w:rPr>
        <w:t xml:space="preserve">.</w:t>
      </w:r>
      <w:r>
        <w:t xml:space="preserve"> </w:t>
      </w:r>
      <w:r>
        <w:t xml:space="preserve">We compute it by Brent bracketing on that interval.</w:t>
      </w:r>
    </w:p>
    <w:p>
      <w:pPr>
        <w:pStyle w:val="BodyText"/>
      </w:pPr>
      <w:r>
        <w:t xml:space="preserve">This corrects the earlier version of this analysis, which used a multistart nonlinear solver and</w:t>
      </w:r>
      <w:r>
        <w:t xml:space="preserve"> </w:t>
      </w:r>
      <w:r>
        <w:t xml:space="preserve">counted solver failures as</w:t>
      </w:r>
      <w:r>
        <w:t xml:space="preserve"> </w:t>
      </w:r>
      <w:r>
        <w:t xml:space="preserve">“</w:t>
      </w:r>
      <w:r>
        <w:t xml:space="preserve">no steady state</w:t>
      </w:r>
      <w:r>
        <w:t xml:space="preserve">”</w:t>
      </w:r>
      <w:r>
        <w:t xml:space="preserve">. In the 4000-point parameter sample (Section 3.2),</w:t>
      </w:r>
      <w:r>
        <w:t xml:space="preserve"> </w:t>
      </w:r>
      <w:r>
        <w:t xml:space="preserve">733 points had been discarded in this way. All of them have a steady state, with residual below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bookmarkEnd w:id="24"/>
    <w:bookmarkEnd w:id="25"/>
    <w:bookmarkStart w:id="30" w:name="results"/>
    <w:p>
      <w:pPr>
        <w:pStyle w:val="Heading1"/>
      </w:pPr>
      <w:r>
        <w:t xml:space="preserve">3. Results</w:t>
      </w:r>
    </w:p>
    <w:bookmarkStart w:id="26" w:name="X535bc5021f8c2c9ec710fba7b6608f075967dd6"/>
    <w:p>
      <w:pPr>
        <w:pStyle w:val="Heading2"/>
      </w:pPr>
      <w:r>
        <w:t xml:space="preserve">3.1 The static loop gain fixes the stationary onset and the selected mode</w:t>
      </w:r>
    </w:p>
    <w:p>
      <w:pPr>
        <w:pStyle w:val="FirstParagraph"/>
      </w:pPr>
      <w:r>
        <w:t xml:space="preserve">To identify which part of the circuit controls stability, we split the four variables of each</w:t>
      </w:r>
      <w:r>
        <w:t xml:space="preserve"> </w:t>
      </w:r>
      <w:r>
        <w:t xml:space="preserve">mode into a</w:t>
      </w:r>
      <w:r>
        <w:t xml:space="preserve"> </w:t>
      </w:r>
      <w:r>
        <w:t xml:space="preserve">“</w:t>
      </w:r>
      <w:r>
        <w:t xml:space="preserve">plant</w:t>
      </w:r>
      <w:r>
        <w:t xml:space="preserve">”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proneural feedback state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μ</m:t>
              </m:r>
            </m:sub>
          </m:sSub>
          <m:r>
            <m:t>z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z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r>
            <m:t>S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A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is the upper-left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block of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. The vector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carries proneural</w:t>
      </w:r>
      <w:r>
        <w:t xml:space="preserve"> </w:t>
      </w:r>
      <w:r>
        <w:t xml:space="preserve">activity into Delta production,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D</m:t>
            </m:r>
          </m:sub>
        </m:sSub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 vector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carries</w:t>
      </w:r>
      <w:r>
        <w:t xml:space="preserve"> </w:t>
      </w:r>
      <w:r>
        <w:t xml:space="preserve">activated Notch into proneural repression,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. The</w:t>
      </w:r>
      <w:r>
        <w:t xml:space="preserve"> </w:t>
      </w:r>
      <w:r>
        <w:t xml:space="preserve">open-loop transfer function around the</w:t>
      </w:r>
      <w:r>
        <w:t xml:space="preserve"> </w:t>
      </w:r>
      <m:oMath>
        <m:r>
          <m:t>S</m:t>
        </m:r>
        <m:r>
          <m:rPr>
            <m:sty m:val="p"/>
          </m:rPr>
          <m:t>→</m:t>
        </m:r>
        <m:r>
          <m:t>D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⊣</m:t>
        </m:r>
        <m:r>
          <m:t>S</m:t>
        </m:r>
      </m:oMath>
      <w:r>
        <w:t xml:space="preserve"> </w:t>
      </w:r>
      <w:r>
        <w:t xml:space="preserve">loop is</w:t>
      </w:r>
      <w:r>
        <w:t xml:space="preserve"> </w:t>
      </w:r>
      <m:oMath>
        <m:sSub>
          <m:e>
            <m:r>
              <m:t>L</m:t>
            </m:r>
          </m:e>
          <m:sub>
            <m:r>
              <m:t>μ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s</m:t>
        </m:r>
        <m:r>
          <m:t>I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μ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 and its zero-frequency value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Cs/>
          <w:b/>
        </w:rPr>
        <w:t xml:space="preserve">static loop gain</w:t>
      </w:r>
      <w:r>
        <w:t xml:space="preserve"> </w:t>
      </w:r>
      <w:r>
        <w:t xml:space="preserve">of mode</w:t>
      </w:r>
      <w:r>
        <w:t xml:space="preserve"> </w:t>
      </w:r>
      <m:oMath>
        <m:r>
          <m:t>μ</m:t>
        </m:r>
      </m:oMath>
      <w:r>
        <w:t xml:space="preserve">. The Schur complement gives the standard identity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det</m:t>
          </m:r>
          <m:r>
            <m:rPr>
              <m:sty m:val="p"/>
            </m:rPr>
            <m:t>(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sSub>
            <m:e>
              <m:r>
                <m:t>J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det</m:t>
          </m:r>
          <m:r>
            <m:rPr>
              <m:sty m:val="p"/>
            </m:rPr>
            <m:t>(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[</m:t>
          </m:r>
          <m:r>
            <m:t> 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det</m:t>
          </m:r>
          <m:sSub>
            <m:e>
              <m:r>
                <m:t>J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[</m:t>
          </m:r>
          <m:r>
            <m:t> </m:t>
          </m:r>
          <m:r>
            <m:t>1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Three properties make this identity informative here (proofs in Supplementary Note 1):</w:t>
      </w:r>
    </w:p>
    <w:p>
      <w:pPr>
        <w:pStyle w:val="BodyText"/>
      </w:pPr>
      <w:r>
        <w:rPr>
          <w:bCs/>
          <w:b/>
        </w:rPr>
        <w:t xml:space="preserve">(i) The plant is always stable.</w:t>
      </w:r>
      <w:r>
        <w:t xml:space="preserve"> </w:t>
      </w:r>
      <m:oMath>
        <m:sSub>
          <m:e>
            <m:r>
              <m:t>A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is Hurwitz (all its eigenvalues have negative real part) for every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]</m:t>
        </m:r>
      </m:oMath>
      <w:r>
        <w:t xml:space="preserve"> </w:t>
      </w:r>
      <w:r>
        <w:t xml:space="preserve">and every</w:t>
      </w:r>
      <w:r>
        <w:t xml:space="preserve"> </w:t>
      </w:r>
      <w:r>
        <w:t xml:space="preserve">positive parameter set. Cis inactivation and trans depletion couple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 but this</w:t>
      </w:r>
      <w:r>
        <w:t xml:space="preserve"> </w:t>
      </w:r>
      <w:r>
        <w:t xml:space="preserve">subsystem cannot destabilise any mode on its own when Delta production is held fixed. Every</w:t>
      </w:r>
      <w:r>
        <w:t xml:space="preserve"> </w:t>
      </w:r>
      <w:r>
        <w:t xml:space="preserve">instability involves the proneural loop.</w:t>
      </w:r>
    </w:p>
    <w:p>
      <w:pPr>
        <w:pStyle w:val="BodyText"/>
      </w:pPr>
      <w:r>
        <w:rPr>
          <w:bCs/>
          <w:b/>
        </w:rPr>
        <w:t xml:space="preserve">(ii) The static gain counts eigenvalue parity.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sign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sign of</w:t>
      </w:r>
      <w:r>
        <w:t xml:space="preserve"> </w:t>
      </w:r>
      <m:oMath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. So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has a zero</w:t>
      </w:r>
      <w:r>
        <w:t xml:space="preserve"> </w:t>
      </w:r>
      <w:r>
        <w:t xml:space="preserve">eigenvalue,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has an odd number of positive real</w:t>
      </w:r>
      <w:r>
        <w:t xml:space="preserve"> </w:t>
      </w:r>
      <w:r>
        <w:t xml:space="preserve">eigenvalues.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stability certificate. It is compatible with a complex pair,</w:t>
      </w:r>
      <w:r>
        <w:t xml:space="preserve"> </w:t>
      </w:r>
      <w:r>
        <w:t xml:space="preserve">or two real eigenvalues, in the right half-plane (Section 3.3). The complete test for a mode is</w:t>
      </w:r>
      <w:r>
        <w:t xml:space="preserve"> </w:t>
      </w:r>
      <w:r>
        <w:t xml:space="preserve">the Nyquist criterion [15]. Since the open loop has no unstable poles, the number of unstable</w:t>
      </w:r>
      <w:r>
        <w:t xml:space="preserve"> </w:t>
      </w:r>
      <w:r>
        <w:t xml:space="preserve">eigenvalues of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equals the number of clockwise encirclements of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L</m:t>
            </m:r>
          </m:e>
          <m:sub>
            <m:r>
              <m:t>μ</m:t>
            </m:r>
          </m:sub>
        </m:sSub>
        <m:r>
          <m:rPr>
            <m:sty m:val="p"/>
          </m:rPr>
          <m:t>(</m:t>
        </m:r>
        <m:r>
          <m:t>i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(iii) The static gain is largest at the most negative graph eigenvalue.</w:t>
      </w:r>
      <w:r>
        <w:t xml:space="preserve"> </w:t>
      </w:r>
      <w:r>
        <w:t xml:space="preserve">Writing out the</w:t>
      </w:r>
      <w:r>
        <w:t xml:space="preserve"> </w:t>
      </w:r>
      <w:r>
        <w:t xml:space="preserve">cofactors gives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 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Δ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. Here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b>
          <m:e>
            <m:r>
              <m:t>k</m:t>
            </m:r>
          </m:e>
          <m:sub>
            <m:r>
              <m:t>c</m:t>
            </m:r>
          </m:sub>
        </m:sSub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c</m:t>
            </m:r>
          </m:sub>
        </m:sSub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linear and decreasing in</w:t>
      </w:r>
      <w:r>
        <w:t xml:space="preserve"> </w:t>
      </w:r>
      <m:oMath>
        <m:r>
          <m:t>μ</m:t>
        </m:r>
      </m:oMath>
      <w:r>
        <w:t xml:space="preserve">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determinant of the</w:t>
      </w:r>
      <w:r>
        <w:t xml:space="preserve"> </w:t>
      </w:r>
      <m:oMath>
        <m:r>
          <m:t>D</m:t>
        </m:r>
      </m:oMath>
      <w:r>
        <w:t xml:space="preserve">–</w:t>
      </w:r>
      <m:oMath>
        <m:r>
          <m:t>N</m:t>
        </m:r>
      </m:oMath>
      <w:r>
        <w:t xml:space="preserve"> </w:t>
      </w:r>
      <w:r>
        <w:t xml:space="preserve">block,</w:t>
      </w:r>
      <w:r>
        <w:t xml:space="preserve"> </w:t>
      </w:r>
      <w:r>
        <w:t xml:space="preserve">which is quadratic in</w:t>
      </w:r>
      <w:r>
        <w:t xml:space="preserve"> </w:t>
      </w:r>
      <m:oMath>
        <m:r>
          <m:t>μ</m:t>
        </m:r>
      </m:oMath>
      <w:r>
        <w:t xml:space="preserve">. A concavity argument (Supplementary Note 1) shows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, and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 This holds for every positive parameter set and every</w:t>
      </w:r>
      <w:r>
        <w:t xml:space="preserve"> </w:t>
      </w:r>
      <w:r>
        <w:t xml:space="preserve">regular contact graph. Two consequences follow. Along any parameter path that starts from a</w:t>
      </w:r>
      <w:r>
        <w:t xml:space="preserve"> </w:t>
      </w:r>
      <w:r>
        <w:t xml:space="preserve">stable homogeneous state,</w:t>
      </w:r>
      <w:r>
        <w:t xml:space="preserve"> </w:t>
      </w:r>
      <w:r>
        <w:rPr>
          <w:bCs/>
          <w:b/>
        </w:rPr>
        <w:t xml:space="preserve">the first stationary instability is always in the</w:t>
      </w:r>
      <w:r>
        <w:rPr>
          <w:bCs/>
          <w:b/>
        </w:rPr>
        <w:t xml:space="preserve"> </w:t>
      </w:r>
      <w:r>
        <w:rPr>
          <w:bCs/>
          <w:b/>
        </w:rPr>
        <w:t xml:space="preserve">three-sublattice mode</w:t>
      </w:r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). The uniform mode can never lose stability through a zero</w:t>
      </w:r>
      <w:r>
        <w:t xml:space="preserve"> </w:t>
      </w:r>
      <w:r>
        <w:t xml:space="preserve">eigenvalue, which agrees with uniqueness of the steady state. In single-channel</w:t>
      </w:r>
      <w:r>
        <w:t xml:space="preserve"> </w:t>
      </w:r>
      <w:r>
        <w:t xml:space="preserve">lateral-inhibition models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simply proportional to</w:t>
      </w:r>
      <w:r>
        <w:t xml:space="preserve"> </w:t>
      </w:r>
      <m:oMath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 this ordering is</w:t>
      </w:r>
      <w:r>
        <w:t xml:space="preserve"> </w:t>
      </w:r>
      <w:r>
        <w:t xml:space="preserve">immediate [1, 11]. Here the neighbour coupling has two channels, trans activation and trans</w:t>
      </w:r>
      <w:r>
        <w:t xml:space="preserve"> </w:t>
      </w:r>
      <w:r>
        <w:t xml:space="preserve">depletion, and with cis inactivation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becomes a ratio of linear and quadratic</w:t>
      </w:r>
      <w:r>
        <w:t xml:space="preserve"> </w:t>
      </w:r>
      <w:r>
        <w:t xml:space="preserve">functions of</w:t>
      </w:r>
      <w:r>
        <w:t xml:space="preserve"> </w:t>
      </w:r>
      <m:oMath>
        <m:r>
          <m:t>μ</m:t>
        </m:r>
      </m:oMath>
      <w:r>
        <w:t xml:space="preserve">. Part (iii) shows that these extra channels never change the selected mode.</w:t>
      </w:r>
    </w:p>
    <w:p>
      <w:pPr>
        <w:pStyle w:val="BodyText"/>
      </w:pPr>
      <w:r>
        <w:t xml:space="preserve">Fig. 2A shows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across the full spectrum at four values of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. The maximum is</w:t>
      </w:r>
      <w:r>
        <w:t xml:space="preserve"> </w:t>
      </w:r>
      <w:r>
        <w:t xml:space="preserve">always at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negative near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. As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increases, the leading</w:t>
      </w:r>
      <w:r>
        <w:t xml:space="preserve"> </w:t>
      </w:r>
      <w:r>
        <w:t xml:space="preserve">eigenvalue of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 </w:t>
      </w:r>
      <w:r>
        <w:t xml:space="preserve">crosses zero (Fig. 2B) at the same point 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crosses one</w:t>
      </w:r>
      <w:r>
        <w:t xml:space="preserve"> </w:t>
      </w:r>
      <w:r>
        <w:t xml:space="preserve">(Fig. 2C). The two crossings, located by separate root-finding, give</w:t>
      </w:r>
      <w:r>
        <w:t xml:space="preserve"> </w:t>
      </w:r>
      <m:oMath>
        <m:sSubSup>
          <m:e>
            <m:r>
              <m:t>λ</m:t>
            </m:r>
          </m:e>
          <m:sub>
            <m:r>
              <m:t>N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r>
          <m:t>1.304815343</m:t>
        </m:r>
      </m:oMath>
      <w:r>
        <w:t xml:space="preserve"> </w:t>
      </w:r>
      <w:r>
        <w:t xml:space="preserve">and agree to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, as identity (5) requires. The</w:t>
      </w:r>
      <w:r>
        <w:t xml:space="preserve"> </w:t>
      </w:r>
      <w:r>
        <w:t xml:space="preserve">uniform mode keeps a leading eigenvalue of</w:t>
      </w:r>
      <w:r>
        <w:t xml:space="preserve"> </w:t>
      </w:r>
      <m:oMath>
        <m:r>
          <m:rPr>
            <m:sty m:val="p"/>
          </m:rPr>
          <m:t>−</m:t>
        </m:r>
        <m:r>
          <m:t>0.100</m:t>
        </m:r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6.5</m:t>
        </m:r>
        <m:r>
          <m:rPr>
            <m:sty m:val="p"/>
          </m:rPr>
          <m:t>]</m:t>
        </m:r>
      </m:oMath>
      <w:r>
        <w:t xml:space="preserve">. At P2,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1.809</m:t>
        </m:r>
      </m:oMath>
      <w:r>
        <w:t xml:space="preserve"> </w:t>
      </w:r>
      <w:r>
        <w:t xml:space="preserve">and the three-sublattice mode grows at rate</w:t>
      </w:r>
      <w:r>
        <w:t xml:space="preserve"> </w:t>
      </w:r>
      <m:oMath>
        <m:r>
          <m:t>0.103067</m:t>
        </m:r>
      </m:oMath>
      <w:r>
        <w:t xml:space="preserve">.</w:t>
      </w:r>
    </w:p>
    <w:bookmarkEnd w:id="26"/>
    <w:bookmarkStart w:id="27" w:name="X634d28ec8a47cba09068cc33d1a0a2eb2fb59c2"/>
    <w:p>
      <w:pPr>
        <w:pStyle w:val="Heading2"/>
      </w:pPr>
      <w:r>
        <w:t xml:space="preserve">3.2 Which kinetic steps set the static margin</w:t>
      </w:r>
    </w:p>
    <w:p>
      <w:pPr>
        <w:pStyle w:val="FirstParagraph"/>
      </w:pPr>
      <w:r>
        <w:t xml:space="preserve">Because the stationary boundary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the parameters that move it are those that change</w:t>
      </w:r>
      <w:r>
        <w:t xml:space="preserve"> </w:t>
      </w:r>
      <w:r>
        <w:t xml:space="preserve">the static gain.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factorises exactly into three stage gains (Methods, Eq. 7):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κ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D</m:t>
            </m:r>
          </m:sub>
        </m:sSub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from proneural activity to Delta production;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T</m:t>
            </m:r>
          </m:e>
          <m:sub>
            <m:r>
              <m:t>μ</m:t>
            </m:r>
          </m:sub>
        </m:sSub>
      </m:oMath>
      <w:r>
        <w:t xml:space="preserve">, the static response of activated Notch in the neighbouring cells to Delta</w:t>
      </w:r>
      <w:r>
        <w:t xml:space="preserve"> </w:t>
      </w:r>
      <w:r>
        <w:t xml:space="preserve">production in mode</w:t>
      </w:r>
      <w:r>
        <w:t xml:space="preserve"> </w:t>
      </w:r>
      <m:oMath>
        <m:r>
          <m:t>μ</m:t>
        </m:r>
      </m:oMath>
      <w:r>
        <w:t xml:space="preserve">, including the</w:t>
      </w:r>
      <w:r>
        <w:t xml:space="preserve"> </w:t>
      </w:r>
      <m:oMath>
        <m:r>
          <m:t>N</m:t>
        </m:r>
      </m:oMath>
      <w:r>
        <w:t xml:space="preserve">-mediated cis and trans paths;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κ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, from activated Notch to proneural repression.</w:t>
      </w:r>
    </w:p>
    <w:p>
      <w:pPr>
        <w:pStyle w:val="FirstParagraph"/>
      </w:pPr>
      <w:r>
        <w:t xml:space="preserve">Each logarithmic sensitivity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ln</m:t>
        </m:r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nor/>
            <m:sty m:val="p"/>
          </m:rPr>
          <m:t>ln</m:t>
        </m:r>
        <m:r>
          <m:t>p</m:t>
        </m:r>
      </m:oMath>
      <w:r>
        <w:t xml:space="preserve"> </w:t>
      </w:r>
      <w:r>
        <w:t xml:space="preserve">splits accordingly. The split</w:t>
      </w:r>
      <w:r>
        <w:t xml:space="preserve"> </w:t>
      </w:r>
      <w:r>
        <w:t xml:space="preserve">includes each parameter’s indirect effect through the shift of the steady state (Fig. 3A).</w:t>
      </w:r>
    </w:p>
    <w:p>
      <w:pPr>
        <w:pStyle w:val="BodyText"/>
      </w:pP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largest static sensitivities belong to the downstream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ln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ln</m:t>
              </m:r>
              <m:r>
                <m:t>p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6.9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5.3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5.3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3.5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1.8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1.8</m:t>
              </m:r>
            </m:oMath>
          </w:p>
        </w:tc>
      </w:tr>
    </w:tbl>
    <w:p>
      <w:pPr>
        <w:pStyle w:val="BodyText"/>
      </w:pPr>
      <w:r>
        <w:t xml:space="preserve">The cis/trans parameters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are below 0.5 in magnitude. The stage</w:t>
      </w:r>
      <w:r>
        <w:t xml:space="preserve"> </w:t>
      </w:r>
      <w:r>
        <w:t xml:space="preserve">decomposition shows why the downstream parameters dominate. Each acts on more than one stage at</w:t>
      </w:r>
      <w:r>
        <w:t xml:space="preserve"> </w:t>
      </w:r>
      <w:r>
        <w:t xml:space="preserve">once, through the steady state. For example, raising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steepens proneural repression and</w:t>
      </w:r>
      <w:r>
        <w:t xml:space="preserve"> </w:t>
      </w:r>
      <w:r>
        <w:t xml:space="preserve">also moves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onto a steeper part of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. One-parameter continuations over a 100-fold range</w:t>
      </w:r>
      <w:r>
        <w:t xml:space="preserve"> </w:t>
      </w:r>
      <w:r>
        <w:t xml:space="preserve">cross the boundary only for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(Fig. S2). On</w:t>
      </w:r>
      <w:r>
        <w:t xml:space="preserve"> </w:t>
      </w:r>
      <w:r>
        <w:t xml:space="preserve">two-parameter maps the contour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coincides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 all 1875</w:t>
      </w:r>
      <w:r>
        <w:t xml:space="preserve"> </w:t>
      </w:r>
      <w:r>
        <w:t xml:space="preserve">grid points (Fig. 3C,D). This ranking describes the present operating point. It does not claim</w:t>
      </w:r>
      <w:r>
        <w:t xml:space="preserve"> </w:t>
      </w:r>
      <w:r>
        <w:t xml:space="preserve">that cis/trans interactions are unimportant in Notch biology [2, 7, 8].</w:t>
      </w:r>
    </w:p>
    <w:p>
      <w:pPr>
        <w:pStyle w:val="BodyText"/>
      </w:pPr>
      <w:r>
        <w:t xml:space="preserve">The comparison in Fig. 3B anticipates Section 3.4. Static quantities depend on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only through their ratio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, so their static sensitivities are equal and</w:t>
      </w:r>
      <w:r>
        <w:t xml:space="preserve"> </w:t>
      </w:r>
      <w:r>
        <w:t xml:space="preserve">opposite (</w:t>
      </w:r>
      <m:oMath>
        <m:r>
          <m:rPr>
            <m:sty m:val="p"/>
          </m:rPr>
          <m:t>∓</m:t>
        </m:r>
        <m:r>
          <m:t>1.80</m:t>
        </m:r>
      </m:oMath>
      <w:r>
        <w:t xml:space="preserve">). Their effects on the growth rate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are not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0.060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0.044</m:t>
        </m:r>
      </m:oMath>
      <w:r>
        <w:t xml:space="preserve">), because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also sets how fast the proneural stage relaxes.</w:t>
      </w:r>
    </w:p>
    <w:p>
      <w:pPr>
        <w:pStyle w:val="BodyText"/>
      </w:pPr>
      <w:r>
        <w:rPr>
          <w:bCs/>
          <w:b/>
        </w:rPr>
        <w:t xml:space="preserve">Global sample.</w:t>
      </w:r>
      <w:r>
        <w:t xml:space="preserve"> </w:t>
      </w:r>
      <w:r>
        <w:t xml:space="preserve">Over a 4000-point Latin-hypercube sample of all 13 parameters (each rate</w:t>
      </w:r>
      <w:r>
        <w:t xml:space="preserve"> </w:t>
      </w:r>
      <w:r>
        <w:t xml:space="preserve">within</w:t>
      </w:r>
      <w:r>
        <w:t xml:space="preserve"> </w:t>
      </w:r>
      <m:oMath>
        <m:r>
          <m:rPr>
            <m:sty m:val="p"/>
          </m:rPr>
          <m:t>[</m:t>
        </m:r>
        <m:r>
          <m:t>0.1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log-uniform; Hill coefficients in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w:r>
        <w:rPr>
          <w:bCs/>
          <w:b/>
        </w:rPr>
        <w:t xml:space="preserve">1453 points (36.3%)</w:t>
      </w:r>
      <w:r>
        <w:rPr>
          <w:bCs/>
          <w:b/>
        </w:rPr>
        <w:t xml:space="preserve"> </w:t>
      </w:r>
      <w:r>
        <w:rPr>
          <w:bCs/>
          <w:b/>
        </w:rPr>
        <w:t xml:space="preserve">are unstable to a spatial mode.</w:t>
      </w:r>
      <w:r>
        <w:t xml:space="preserve"> </w:t>
      </w:r>
      <w:r>
        <w:t xml:space="preserve">At every one of them the dominant mode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 The</w:t>
      </w:r>
      <w:r>
        <w:t xml:space="preserve"> </w:t>
      </w:r>
      <w:r>
        <w:t xml:space="preserve">earlier figure of 30.3% excluded the 733 points discussed in Section 2.3. The fraction depends</w:t>
      </w:r>
      <w:r>
        <w:t xml:space="preserve"> </w:t>
      </w:r>
      <w:r>
        <w:t xml:space="preserve">on the sampling measure and is not a biological probability.</w:t>
      </w:r>
    </w:p>
    <w:bookmarkEnd w:id="27"/>
    <w:bookmarkStart w:id="28" w:name="where-the-static-gain-is-not-enough"/>
    <w:p>
      <w:pPr>
        <w:pStyle w:val="Heading2"/>
      </w:pPr>
      <w:r>
        <w:t xml:space="preserve">3.3 Where the static gain is not enough</w:t>
      </w:r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agree at 3988 of the 4000 sampled points (Fig. 4A). At</w:t>
      </w:r>
      <w:r>
        <w:t xml:space="preserve"> </w:t>
      </w:r>
      <w:r>
        <w:t xml:space="preserve">each of the 12 exceptions,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while the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block has</w:t>
      </w:r>
      <w:r>
        <w:t xml:space="preserve"> </w:t>
      </w:r>
      <w:r>
        <w:rPr>
          <w:bCs/>
          <w:b/>
        </w:rPr>
        <w:t xml:space="preserve">exactly two</w:t>
      </w:r>
      <w:r>
        <w:t xml:space="preserve"> </w:t>
      </w:r>
      <w:r>
        <w:t xml:space="preserve">right-half-plane eigenvalues. Six are complex pairs and six are pairs of real eigenvalues (Fig. 4C).</w:t>
      </w:r>
      <w:r>
        <w:t xml:space="preserve"> </w:t>
      </w:r>
      <w:r>
        <w:t xml:space="preserve">An even number of unstable eigenvalues leaves</w:t>
      </w:r>
      <w:r>
        <w:t xml:space="preserve"> </w:t>
      </w:r>
      <m:oMath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so by (5) the static gain stays</w:t>
      </w:r>
      <w:r>
        <w:t xml:space="preserve"> </w:t>
      </w:r>
      <w:r>
        <w:t xml:space="preserve">below one. The mismatches are therefore not cases in which</w:t>
      </w:r>
      <w:r>
        <w:t xml:space="preserve"> </w:t>
      </w:r>
      <w:r>
        <w:t xml:space="preserve">“</w:t>
      </w:r>
      <w:r>
        <w:t xml:space="preserve">another mode dominates</w:t>
      </w:r>
      <w:r>
        <w:t xml:space="preserve">”</w:t>
      </w:r>
      <w:r>
        <w:t xml:space="preserve">. In all</w:t>
      </w:r>
      <w:r>
        <w:t xml:space="preserve"> </w:t>
      </w:r>
      <w:r>
        <w:t xml:space="preserve">12, as at every unstable point, the dominant mode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 They are instabilities of the</w:t>
      </w:r>
      <w:r>
        <w:t xml:space="preserve"> </w:t>
      </w:r>
      <w:r>
        <w:t xml:space="preserve">tested mode that are invisible at zero frequency.</w:t>
      </w:r>
    </w:p>
    <w:p>
      <w:pPr>
        <w:pStyle w:val="BodyText"/>
      </w:pPr>
      <w:r>
        <w:t xml:space="preserve">Point 1730 is an example.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0.366</m:t>
        </m:r>
      </m:oMath>
      <w:r>
        <w:t xml:space="preserve">, but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 </w:t>
      </w:r>
      <w:r>
        <w:t xml:space="preserve">has eigenvalues</w:t>
      </w:r>
      <w:r>
        <w:t xml:space="preserve"> </w:t>
      </w:r>
      <m:oMath>
        <m:r>
          <m:t>0.159</m:t>
        </m:r>
        <m:r>
          <m:rPr>
            <m:sty m:val="p"/>
          </m:rPr>
          <m:t>±</m:t>
        </m:r>
        <m:r>
          <m:t>0.262</m:t>
        </m:r>
        <m:r>
          <m:t>i</m:t>
        </m:r>
      </m:oMath>
      <w:r>
        <w:t xml:space="preserve">. Its Nyquist curve crosses the real axis at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(</m:t>
        </m:r>
        <m:r>
          <m:t>i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1.56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0.36</m:t>
        </m:r>
      </m:oMath>
      <w:r>
        <w:t xml:space="preserve">, and together with its mirror image it encircles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twice (Fig. 4B). The</w:t>
      </w:r>
      <w:r>
        <w:t xml:space="preserve"> </w:t>
      </w:r>
      <w:r>
        <w:t xml:space="preserve">stationary instability at P2 encircles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once, and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not at all. Counting</w:t>
      </w:r>
      <w:r>
        <w:t xml:space="preserve"> </w:t>
      </w:r>
      <w:r>
        <w:t xml:space="preserve">encirclements reproduces the eigenvalue count at all 4000 points. The parameter sets of these</w:t>
      </w:r>
      <w:r>
        <w:t xml:space="preserve"> </w:t>
      </w:r>
      <w:r>
        <w:t xml:space="preserve">12 points are listed in the deposited data.</w:t>
      </w:r>
    </w:p>
    <w:p>
      <w:pPr>
        <w:pStyle w:val="BodyText"/>
      </w:pPr>
      <w:r>
        <w:rPr>
          <w:bCs/>
          <w:b/>
        </w:rPr>
        <w:t xml:space="preserve">Is another pattern ever selected?</w:t>
      </w:r>
      <w:r>
        <w:t xml:space="preserve"> </w:t>
      </w:r>
      <w:r>
        <w:t xml:space="preserve">By property (iii), no other nonuniform mode can be the</w:t>
      </w:r>
      <w:r>
        <w:t xml:space="preserve"> </w:t>
      </w:r>
      <w:r>
        <w:t xml:space="preserve">first to undergo a</w:t>
      </w:r>
      <w:r>
        <w:t xml:space="preserve"> </w:t>
      </w:r>
      <w:r>
        <w:rPr>
          <w:iCs/>
          <w:i/>
        </w:rPr>
        <w:t xml:space="preserve">stationary</w:t>
      </w:r>
      <w:r>
        <w:t xml:space="preserve"> </w:t>
      </w:r>
      <w:r>
        <w:t xml:space="preserve">instability. Non-stationary instabilities are not covered by</w:t>
      </w:r>
      <w:r>
        <w:t xml:space="preserve"> </w:t>
      </w:r>
      <w:r>
        <w:t xml:space="preserve">that argument, so we searched 40 000 further random parameter sets: 20 000 from the same box</w:t>
      </w:r>
      <w:r>
        <w:t xml:space="preserve"> </w:t>
      </w:r>
      <w:r>
        <w:t xml:space="preserve">and 20 000 from a box ten times wider in every rate. Of these, 13 047 were unstable to a spatial</w:t>
      </w:r>
      <w:r>
        <w:t xml:space="preserve"> </w:t>
      </w:r>
      <w:r>
        <w:t xml:space="preserve">mode. In none was a mode other than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dominant, or unstable while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was stable.</w:t>
      </w:r>
      <w:r>
        <w:t xml:space="preserve"> </w:t>
      </w:r>
      <w:r>
        <w:t xml:space="preserve">The only other mode we found unstable is the uniform mode, which at 45 of the 4000 sampled</w:t>
      </w:r>
      <w:r>
        <w:t xml:space="preserve"> </w:t>
      </w:r>
      <w:r>
        <w:t xml:space="preserve">points has a complex pair in the right half-plane, corresponding to synchronous oscillation.</w:t>
      </w:r>
      <w:r>
        <w:t xml:space="preserve"> </w:t>
      </w:r>
      <w:r>
        <w:t xml:space="preserve">All 45 points are also unstable to the three-sublattice mode.</w:t>
      </w:r>
    </w:p>
    <w:bookmarkEnd w:id="28"/>
    <w:bookmarkStart w:id="29" w:name="what-the-explicit-downstream-layer-adds"/>
    <w:p>
      <w:pPr>
        <w:pStyle w:val="Heading2"/>
      </w:pPr>
      <w:r>
        <w:t xml:space="preserve">3.4 What the explicit downstream layer adds</w:t>
      </w:r>
    </w:p>
    <w:p>
      <w:pPr>
        <w:pStyle w:val="FirstParagraph"/>
      </w:pPr>
      <w:r>
        <w:t xml:space="preserve">To isolate the role of the downstream dynamics, we compared the full model with two matched</w:t>
      </w:r>
      <w:r>
        <w:t xml:space="preserve"> </w:t>
      </w:r>
      <w:r>
        <w:t xml:space="preserve">reductions (Methods):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DNA:</w:t>
      </w:r>
      <w:r>
        <w:t xml:space="preserve"> </w:t>
      </w:r>
      <w:r>
        <w:t xml:space="preserve">proneural activity is slaved to activated Notch,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This</w:t>
      </w:r>
      <w:r>
        <w:t xml:space="preserve"> </w:t>
      </w:r>
      <w:r>
        <w:t xml:space="preserve">gives a three-variable Notch–Delta–reporter model of the type studied in [2, 7].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DN: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slaved, giving two variables.</w:t>
      </w:r>
    </w:p>
    <w:p>
      <w:pPr>
        <w:pStyle w:val="FirstParagraph"/>
      </w:pPr>
      <w:r>
        <w:t xml:space="preserve">Both reductions only impose</w:t>
      </w:r>
      <w:r>
        <w:t xml:space="preserve">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(and</w:t>
      </w:r>
      <w:r>
        <w:t xml:space="preserve"> </w:t>
      </w:r>
      <m:oMath>
        <m:acc>
          <m:accPr>
            <m:chr m:val="̇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 cell by cell, so they have exactly the</w:t>
      </w:r>
      <w:r>
        <w:t xml:space="preserve"> </w:t>
      </w:r>
      <w:r>
        <w:t xml:space="preserve">same steady states as (1), homogeneous or patterned. Their mode-resolved Jacobians are Schur</w:t>
      </w:r>
      <w:r>
        <w:t xml:space="preserve"> </w:t>
      </w:r>
      <w:r>
        <w:t xml:space="preserve">complements of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nor/>
            <m:sty m:val="p"/>
          </m:rPr>
          <m:t>det</m:t>
        </m:r>
        <m:sSubSup>
          <m:e>
            <m:r>
              <m:t>J</m:t>
            </m:r>
          </m:e>
          <m:sub>
            <m:r>
              <m:t>μ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nor/>
            <m:sty m:val="p"/>
          </m:rPr>
          <m:t>det</m:t>
        </m:r>
        <m:sSubSup>
          <m:e>
            <m:r>
              <m:t>J</m:t>
            </m:r>
          </m:e>
          <m:sub>
            <m:r>
              <m:t>μ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N</m:t>
            </m:r>
          </m:sup>
        </m:sSubSup>
      </m:oMath>
      <w:r>
        <w:t xml:space="preserve">.</w:t>
      </w:r>
      <w:r>
        <w:t xml:space="preserve"> </w:t>
      </w:r>
      <w:r>
        <w:rPr>
          <w:bCs/>
          <w:b/>
        </w:rPr>
        <w:t xml:space="preserve">The full model and both reductions therefore share the</w:t>
      </w:r>
      <w:r>
        <w:rPr>
          <w:bCs/>
          <w:b/>
        </w:rPr>
        <w:t xml:space="preserve"> </w:t>
      </w:r>
      <w:r>
        <w:rPr>
          <w:bCs/>
          <w:b/>
        </w:rPr>
        <w:t xml:space="preserve">stationary boundary, the critical</w:t>
      </w:r>
      <w:r>
        <w:rPr>
          <w:bCs/>
          <w:b/>
        </w:rP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rPr>
          <w:bCs/>
          <w:b/>
        </w:rPr>
        <w:t xml:space="preserve">, and the selected mode.</w:t>
      </w:r>
      <w:r>
        <w:t xml:space="preserve"> </w:t>
      </w:r>
      <w:r>
        <w:t xml:space="preserve">Section 3.1 and the</w:t>
      </w:r>
      <w:r>
        <w:t xml:space="preserve"> </w:t>
      </w:r>
      <w:r>
        <w:t xml:space="preserve">boundary in Section 3.2 do not need the explicit downstream dynamics. A reduced model with the</w:t>
      </w:r>
      <w:r>
        <w:t xml:space="preserve"> </w:t>
      </w:r>
      <w:r>
        <w:t xml:space="preserve">same static input–output response predicts them exactly.</w:t>
      </w:r>
    </w:p>
    <w:p>
      <w:pPr>
        <w:pStyle w:val="BodyText"/>
      </w:pPr>
      <w:r>
        <w:t xml:space="preserve">The explicit dynamics matter for timing. Consider the one-parameter family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α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. It leaves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every steady</w:t>
      </w:r>
      <w:r>
        <w:t xml:space="preserve"> </w:t>
      </w:r>
      <w:r>
        <w:t xml:space="preserve">state and every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unchanged, and only rescales how fast proneural activity relaxes.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the model approaches the DNA reduction.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the plant equilibrates</w:t>
      </w:r>
      <w:r>
        <w:t xml:space="preserve"> </w:t>
      </w:r>
      <w:r>
        <w:t xml:space="preserve">quickly relative to</w:t>
      </w:r>
      <w:r>
        <w:t xml:space="preserve"> </w:t>
      </w:r>
      <m:oMath>
        <m:r>
          <m:t>S</m:t>
        </m:r>
      </m:oMath>
      <w:r>
        <w:t xml:space="preserve">, and the growth rate of mode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approaches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(Supplementary Note 1). The static gain sets whether a mode grows, and the slowest downstream</w:t>
      </w:r>
      <w:r>
        <w:t xml:space="preserve"> </w:t>
      </w:r>
      <w:r>
        <w:t xml:space="preserve">step sets how fast. Along this family at P2,</w:t>
      </w:r>
      <w:r>
        <w:t xml:space="preserve"> </w:t>
      </w:r>
      <m:oMath>
        <m:sSubSup>
          <m:e>
            <m:r>
              <m:t>λ</m:t>
            </m:r>
          </m:e>
          <m:sub>
            <m:r>
              <m:t>N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r>
          <m:t>1.304815343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while the growth rate of the three-sublattice mode ranges from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1.59</m:t>
        </m:r>
      </m:oMath>
      <w:r>
        <w:t xml:space="preserve"> </w:t>
      </w:r>
      <w:r>
        <w:t xml:space="preserve">(Fig. 5A). At the baseline timescales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 the explicit model</w:t>
      </w:r>
      <w:r>
        <w:t xml:space="preserve"> </w:t>
      </w:r>
      <w:r>
        <w:t xml:space="preserve">lies close to the slow-proneural limit: it grows at</w:t>
      </w:r>
      <w:r>
        <w:t xml:space="preserve"> </w:t>
      </w:r>
      <m:oMath>
        <m:r>
          <m:t>0.103</m:t>
        </m:r>
      </m:oMath>
      <w:r>
        <w:t xml:space="preserve">, against</w:t>
      </w:r>
      <w:r>
        <w:t xml:space="preserve"> </w:t>
      </w:r>
      <m:oMath>
        <m:r>
          <m:t>0.081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. The DNA and DN reductions predict</w:t>
      </w:r>
      <w:r>
        <w:t xml:space="preserve"> </w:t>
      </w:r>
      <m:oMath>
        <m:r>
          <m:t>1.597</m:t>
        </m:r>
      </m:oMath>
      <w:r>
        <w:t xml:space="preserve"> </w:t>
      </w:r>
      <w:r>
        <w:t xml:space="preserve">(15.5-fold faster) and</w:t>
      </w:r>
      <w:r>
        <w:t xml:space="preserve"> </w:t>
      </w:r>
      <m:oMath>
        <m:r>
          <m:t>11.28</m:t>
        </m:r>
      </m:oMath>
      <w:r>
        <w:t xml:space="preserve"> </w:t>
      </w:r>
      <w:r>
        <w:t xml:space="preserve">(109-fold).</w:t>
      </w:r>
    </w:p>
    <w:p>
      <w:pPr>
        <w:pStyle w:val="BodyText"/>
      </w:pPr>
      <w:r>
        <w:t xml:space="preserve">The same holds across the global sample (Fig. 5B). The DNA reduction is unstable wherever the</w:t>
      </w:r>
      <w:r>
        <w:t xml:space="preserve"> </w:t>
      </w:r>
      <w:r>
        <w:t xml:space="preserve">full model is unstable, and grows faster at every one of those points (median 4.9-fold,</w:t>
      </w:r>
      <w:r>
        <w:t xml:space="preserve"> </w:t>
      </w:r>
      <w:r>
        <w:t xml:space="preserve">interquartile range 2.6–13.0). It is also unstable at 26 points where the full model is stable,</w:t>
      </w:r>
      <w:r>
        <w:t xml:space="preserve"> </w:t>
      </w:r>
      <w:r>
        <w:t xml:space="preserve">all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. These are non-stationary instabilities that the finite proneural relaxation</w:t>
      </w:r>
      <w:r>
        <w:t xml:space="preserve"> </w:t>
      </w:r>
      <w:r>
        <w:t xml:space="preserve">removes. For the DN reduction the median overestimate is 216-fold, with 47 spurious</w:t>
      </w:r>
      <w:r>
        <w:t xml:space="preserve"> </w:t>
      </w:r>
      <w:r>
        <w:t xml:space="preserve">instabilities.</w:t>
      </w:r>
    </w:p>
    <w:p>
      <w:pPr>
        <w:pStyle w:val="BodyText"/>
      </w:pPr>
      <w:r>
        <w:t xml:space="preserve">Nonlinear simulations confirm both statements (Fig. 5C,D). We started each model at P2 on the</w:t>
      </w:r>
      <w:r>
        <w:t xml:space="preserve"> </w:t>
      </w:r>
      <w:r>
        <w:t xml:space="preserve">exact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eigenvector of its own Jacobian, at relative Delta amplitude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(Methods).</w:t>
      </w:r>
      <w:r>
        <w:t xml:space="preserve"> </w:t>
      </w:r>
      <w:r>
        <w:t xml:space="preserve">The amplitude of the three-sublattice component then grows at the predicted rate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predicted</w:t>
            </w:r>
          </w:p>
        </w:tc>
        <w:tc>
          <w:p>
            <w:pPr>
              <w:pStyle w:val="Compact"/>
              <w:jc w:val="left"/>
            </w:pPr>
            <w:r>
              <w:t xml:space="preserve">fitted</w:t>
            </w:r>
          </w:p>
        </w:tc>
        <w:tc>
          <w:p>
            <w:pPr>
              <w:pStyle w:val="Compact"/>
              <w:jc w:val="left"/>
            </w:pPr>
            <w:r>
              <w:t xml:space="preserve">fitting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0.103067</w:t>
            </w:r>
          </w:p>
        </w:tc>
        <w:tc>
          <w:p>
            <w:pPr>
              <w:pStyle w:val="Compact"/>
              <w:jc w:val="left"/>
            </w:pPr>
            <w:r>
              <w:t xml:space="preserve">0.103077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67.25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DNA reduction</w:t>
            </w:r>
          </w:p>
        </w:tc>
        <w:tc>
          <w:p>
            <w:pPr>
              <w:pStyle w:val="Compact"/>
              <w:jc w:val="left"/>
            </w:pPr>
            <w:r>
              <w:t xml:space="preserve">1.597479</w:t>
            </w:r>
          </w:p>
        </w:tc>
        <w:tc>
          <w:p>
            <w:pPr>
              <w:pStyle w:val="Compact"/>
              <w:jc w:val="left"/>
            </w:pPr>
            <w:r>
              <w:t xml:space="preserve">1.597504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4.5</m:t>
              </m:r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BodyText"/>
      </w:pPr>
      <w:r>
        <w:t xml:space="preserve">The fitting window is fixed in advance and drawn in the figure. The pattern reaches 10% relative</w:t>
      </w:r>
      <w:r>
        <w:t xml:space="preserve"> </w:t>
      </w:r>
      <w:r>
        <w:t xml:space="preserve">amplitude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110.8</m:t>
        </m:r>
      </m:oMath>
      <w:r>
        <w:t xml:space="preserve"> </w:t>
      </w:r>
      <w:r>
        <w:t xml:space="preserve">in the full model and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7.3</m:t>
        </m:r>
      </m:oMath>
      <w:r>
        <w:t xml:space="preserve"> </w:t>
      </w:r>
      <w:r>
        <w:t xml:space="preserve">in the reduction. The two models</w:t>
      </w:r>
      <w:r>
        <w:t xml:space="preserve"> </w:t>
      </w:r>
      <w:r>
        <w:t xml:space="preserve">then settle onto the same three-sublattice steady state, with a maximum difference of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t xml:space="preserve">in the final Delta field. The explicit proneural layer changes when the pattern</w:t>
      </w:r>
      <w:r>
        <w:t xml:space="preserve"> </w:t>
      </w:r>
      <w:r>
        <w:t xml:space="preserve">appears, but not whether or which pattern appears.</w:t>
      </w:r>
    </w:p>
    <w:bookmarkEnd w:id="29"/>
    <w:bookmarkEnd w:id="30"/>
    <w:bookmarkStart w:id="31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rPr>
          <w:bCs/>
          <w:b/>
        </w:rPr>
        <w:t xml:space="preserve">Relation to existing approaches.</w:t>
      </w:r>
      <w:r>
        <w:t xml:space="preserve"> </w:t>
      </w:r>
      <w:r>
        <w:t xml:space="preserve">Table 2 summarises what each level of description predicts.</w:t>
      </w:r>
      <w:r>
        <w:t xml:space="preserve"> </w:t>
      </w:r>
      <w:r>
        <w:t xml:space="preserve">Graph-based static-gain criteria [11, 12] and our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test the same zero-frequency loop;</w:t>
      </w:r>
      <w:r>
        <w:t xml:space="preserve"> </w:t>
      </w:r>
      <w:r>
        <w:t xml:space="preserve">the identity</w:t>
      </w:r>
      <w:r>
        <w:t xml:space="preserve"> </w:t>
      </w:r>
      <m:oMath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  <m:r>
          <m:rPr>
            <m:nor/>
            <m:sty m:val="p"/>
          </m:rPr>
          <m:t>det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μ</m:t>
        </m:r>
        <m:r>
          <m:t>K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static input–output gain of</w:t>
      </w:r>
      <w:r>
        <w:t xml:space="preserve"> </w:t>
      </w:r>
      <w:r>
        <w:t xml:space="preserve">an isolated cell, links them directly (Methods). They locate stationary onset and its mode. A</w:t>
      </w:r>
      <w:r>
        <w:t xml:space="preserve"> </w:t>
      </w:r>
      <w:r>
        <w:t xml:space="preserve">matched reduced model reproduces both exactly, because it has the same static responses. What</w:t>
      </w:r>
      <w:r>
        <w:t xml:space="preserve"> </w:t>
      </w:r>
      <w:r>
        <w:t xml:space="preserve">neither captures is (a) the growth rate, which depends on downstream timescales that the</w:t>
      </w:r>
      <w:r>
        <w:t xml:space="preserve"> </w:t>
      </w:r>
      <w:r>
        <w:t xml:space="preserve">static responses do not constrain, and (b) instabilities that do not pass through a zero</w:t>
      </w:r>
      <w:r>
        <w:t xml:space="preserve"> </w:t>
      </w:r>
      <w:r>
        <w:t xml:space="preserve">eigenvalue. These are the predictions that specifically require the explicit</w:t>
      </w:r>
      <w:r>
        <w:t xml:space="preserve"> </w:t>
      </w:r>
      <w:r>
        <w:t xml:space="preserve">activated-Notch and proneural dynamics. In the sampled region, collapsing the proneural layer</w:t>
      </w:r>
      <w:r>
        <w:t xml:space="preserve"> </w:t>
      </w:r>
      <w:r>
        <w:t xml:space="preserve">always overestimates the speed of patterning and sometimes predicts patterning where the full</w:t>
      </w:r>
      <w:r>
        <w:t xml:space="preserve"> </w:t>
      </w:r>
      <w:r>
        <w:t xml:space="preserve">model has none.</w:t>
      </w:r>
    </w:p>
    <w:p>
      <w:pPr>
        <w:pStyle w:val="BodyText"/>
      </w:pPr>
      <w:r>
        <w:rPr>
          <w:bCs/>
          <w:b/>
        </w:rPr>
        <w:t xml:space="preserve">Biological reading.</w:t>
      </w:r>
      <w:r>
        <w:t xml:space="preserve"> </w:t>
      </w:r>
      <w:r>
        <w:t xml:space="preserve">In this model the proneural stage is often the slowest step, and its</w:t>
      </w:r>
      <w:r>
        <w:t xml:space="preserve"> </w:t>
      </w:r>
      <w:r>
        <w:t xml:space="preserve">turnover sets the tempo of symmetry breaking. When it is slow, the growth rate is</w:t>
      </w:r>
      <w:r>
        <w:t xml:space="preserve"> </w:t>
      </w:r>
      <w:r>
        <w:t xml:space="preserve">approximately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: the excess static gain times the proneural relaxation rate. A</w:t>
      </w:r>
      <w:r>
        <w:t xml:space="preserve"> </w:t>
      </w:r>
      <w:r>
        <w:t xml:space="preserve">perturbation that changes proneural protein stability while preserving the steady-state</w:t>
      </w:r>
      <w:r>
        <w:t xml:space="preserve"> </w:t>
      </w:r>
      <w:r>
        <w:t xml:space="preserve">dose–response of the circuit should therefore change the timing of fine-grained patterning</w:t>
      </w:r>
      <w:r>
        <w:t xml:space="preserve"> </w:t>
      </w:r>
      <w:r>
        <w:t xml:space="preserve">without shifting the threshold at which it occurs. A perturbation that changes a static gain,</w:t>
      </w:r>
      <w:r>
        <w:t xml:space="preserve"> </w:t>
      </w:r>
      <w:r>
        <w:t xml:space="preserve">such as the steepness or position of proneural repression (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), should shift the</w:t>
      </w:r>
      <w:r>
        <w:t xml:space="preserve"> </w:t>
      </w:r>
      <w:r>
        <w:t xml:space="preserve">threshold itself. These are qualitative, model-based expectations. The parameter values are</w:t>
      </w:r>
      <w:r>
        <w:t xml:space="preserve"> </w:t>
      </w:r>
      <w:r>
        <w:t xml:space="preserve">not fitted to a tissue.</w:t>
      </w:r>
    </w:p>
    <w:p>
      <w:pPr>
        <w:pStyle w:val="BodyText"/>
      </w:pPr>
      <w:r>
        <w:rPr>
          <w:bCs/>
          <w:b/>
        </w:rPr>
        <w:t xml:space="preserve">What is and is not new.</w:t>
      </w:r>
      <w:r>
        <w:t xml:space="preserve"> </w:t>
      </w:r>
      <w:r>
        <w:t xml:space="preserve">The mode-by-mode linear analysis and the Schur/static-gain identity</w:t>
      </w:r>
      <w:r>
        <w:t xml:space="preserve"> </w:t>
      </w:r>
      <w:r>
        <w:t xml:space="preserve">are standard [1, 10–12, 15]. Stability to uniform perturbations combined with instability to a</w:t>
      </w:r>
      <w:r>
        <w:t xml:space="preserve"> </w:t>
      </w:r>
      <w:r>
        <w:t xml:space="preserve">patterned mode is a generic feature of lateral-inhibition models. So is the growth of a linear</w:t>
      </w:r>
      <w:r>
        <w:t xml:space="preserve"> </w:t>
      </w:r>
      <w:r>
        <w:t xml:space="preserve">instability into a finite-amplitude pattern. We report neither as a finding. The contributions</w:t>
      </w:r>
      <w:r>
        <w:t xml:space="preserve"> </w:t>
      </w:r>
      <w:r>
        <w:t xml:space="preserve">here are:</w:t>
      </w:r>
    </w:p>
    <w:p>
      <w:pPr>
        <w:numPr>
          <w:ilvl w:val="0"/>
          <w:numId w:val="1005"/>
        </w:numPr>
        <w:pStyle w:val="Compact"/>
      </w:pPr>
      <w:r>
        <w:t xml:space="preserve">uniqueness of the steady state for all positive parameters;</w:t>
      </w:r>
    </w:p>
    <w:p>
      <w:pPr>
        <w:numPr>
          <w:ilvl w:val="0"/>
          <w:numId w:val="1005"/>
        </w:numPr>
        <w:pStyle w:val="Compact"/>
      </w:pPr>
      <w:r>
        <w:t xml:space="preserve">the proof that cis inactivation and two-channel trans coupling cannot change the stationarily</w:t>
      </w:r>
      <w:r>
        <w:t xml:space="preserve"> </w:t>
      </w:r>
      <w:r>
        <w:t xml:space="preserve">selected mode;</w:t>
      </w:r>
    </w:p>
    <w:p>
      <w:pPr>
        <w:numPr>
          <w:ilvl w:val="0"/>
          <w:numId w:val="1005"/>
        </w:numPr>
        <w:pStyle w:val="Compact"/>
      </w:pPr>
      <w:r>
        <w:t xml:space="preserve">the separation of static predictions, which reductions share exactly, from dynamic ones,</w:t>
      </w:r>
      <w:r>
        <w:t xml:space="preserve"> </w:t>
      </w:r>
      <w:r>
        <w:t xml:space="preserve">which they do not;</w:t>
      </w:r>
    </w:p>
    <w:p>
      <w:pPr>
        <w:numPr>
          <w:ilvl w:val="0"/>
          <w:numId w:val="1005"/>
        </w:numPr>
        <w:pStyle w:val="Compact"/>
      </w:pPr>
      <w:r>
        <w:t xml:space="preserve">a quantitative account of where a static test fails and why.</w:t>
      </w:r>
    </w:p>
    <w:p>
      <w:pPr>
        <w:pStyle w:val="FirstParagraph"/>
      </w:pPr>
      <w:r>
        <w:rPr>
          <w:bCs/>
          <w:b/>
        </w:rPr>
        <w:t xml:space="preserve">Limitations.</w:t>
      </w:r>
      <w:r>
        <w:t xml:space="preserve"> </w:t>
      </w:r>
      <w:r>
        <w:t xml:space="preserve">Parameters are literature-inspired operating points, not fits. Periodic</w:t>
      </w:r>
      <w:r>
        <w:t xml:space="preserve"> </w:t>
      </w:r>
      <w:r>
        <w:t xml:space="preserve">boundaries remove edge effects and nucleation sites. Property (iii) covers stationary onset</w:t>
      </w:r>
      <w:r>
        <w:t xml:space="preserve"> </w:t>
      </w:r>
      <w:r>
        <w:t xml:space="preserve">only; non-stationary selection was examined numerically, not proved. The model describes</w:t>
      </w:r>
      <w:r>
        <w:t xml:space="preserve"> </w:t>
      </w:r>
      <w:r>
        <w:t xml:space="preserve">continuous signalling states.</w:t>
      </w:r>
      <w:r>
        <w:t xml:space="preserve"> </w:t>
      </w:r>
      <w:r>
        <w:t xml:space="preserve">“</w:t>
      </w:r>
      <w:r>
        <w:t xml:space="preserve">Sender-like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receiver-like</w:t>
      </w:r>
      <w:r>
        <w:t xml:space="preserve">”</w:t>
      </w:r>
      <w:r>
        <w:t xml:space="preserve"> </w:t>
      </w:r>
      <w:r>
        <w:t xml:space="preserve">refer to the two Delta levels</w:t>
      </w:r>
      <w:r>
        <w:t xml:space="preserve"> </w:t>
      </w:r>
      <w:r>
        <w:t xml:space="preserve">of the final pattern, not to irreversible fate commitment, which would need an additional</w:t>
      </w:r>
      <w:r>
        <w:t xml:space="preserve"> </w:t>
      </w:r>
      <w:r>
        <w:t xml:space="preserve">switch.</w:t>
      </w:r>
    </w:p>
    <w:bookmarkEnd w:id="31"/>
    <w:bookmarkStart w:id="32" w:name="methods"/>
    <w:p>
      <w:pPr>
        <w:pStyle w:val="Heading1"/>
      </w:pPr>
      <w:r>
        <w:t xml:space="preserve">5. Methods</w:t>
      </w:r>
    </w:p>
    <w:p>
      <w:pPr>
        <w:pStyle w:val="FirstParagraph"/>
      </w:pPr>
      <w:r>
        <w:rPr>
          <w:bCs/>
          <w:b/>
        </w:rPr>
        <w:t xml:space="preserve">Mode-resolved Jacobian.</w:t>
      </w:r>
      <w:r>
        <w:t xml:space="preserve"> </w:t>
      </w:r>
      <w:r>
        <w:t xml:space="preserve">At a homogeneous steady state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sSub>
                      <m:e>
                        <m:r>
                          <m:t>h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p>
                      <m:e>
                        <m: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μ</m:t>
                    </m:r>
                  </m:e>
                  <m:e>
                    <m:r>
                      <m:t>6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p>
                      <m:e>
                        <m: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block was checked against a finite-difference Jacobian of the full lattice. The</w:t>
      </w:r>
      <w:r>
        <w:t xml:space="preserve"> </w:t>
      </w:r>
      <w:r>
        <w:t xml:space="preserve">characteristic polynomial from (5) matches</w:t>
      </w:r>
      <w:r>
        <w:t xml:space="preserve"> </w:t>
      </w:r>
      <m:oMath>
        <m:r>
          <m:rPr>
            <m:nor/>
            <m:sty m:val="p"/>
          </m:rPr>
          <m:t>det</m:t>
        </m:r>
        <m:r>
          <m:rPr>
            <m:sty m:val="p"/>
          </m:rPr>
          <m:t>(</m:t>
        </m:r>
        <m:r>
          <m:t>s</m:t>
        </m:r>
        <m:r>
          <m:t>I</m:t>
        </m:r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in its coefficients.</w:t>
      </w:r>
    </w:p>
    <w:p>
      <w:pPr>
        <w:pStyle w:val="BodyText"/>
      </w:pPr>
      <w:r>
        <w:rPr>
          <w:bCs/>
          <w:b/>
        </w:rPr>
        <w:t xml:space="preserve">Stage gains.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t>A</m:t>
            </m:r>
          </m:e>
          <m:sub>
            <m:r>
              <m:t>μ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p"/>
              </m:rPr>
              <m:t>]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</m:sub>
        </m:sSub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t>Δ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κ</m:t>
              </m:r>
            </m:e>
            <m:sub>
              <m:r>
                <m:t>D</m:t>
              </m:r>
            </m:sub>
          </m:sSub>
          <m:r>
            <m:t> </m:t>
          </m:r>
          <m:sSub>
            <m:e>
              <m:r>
                <m:t>T</m:t>
              </m:r>
            </m:e>
            <m:sub>
              <m:r>
                <m:t>μ</m:t>
              </m:r>
            </m:sub>
          </m:sSub>
          <m:r>
            <m:t> </m:t>
          </m:r>
          <m:sSub>
            <m:e>
              <m:r>
                <m:t>κ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Logarithmic sensitivities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were computed by central</w:t>
      </w:r>
      <w:r>
        <w:t xml:space="preserve"> </w:t>
      </w:r>
      <w:r>
        <w:t xml:space="preserve">differences in</w:t>
      </w:r>
      <w:r>
        <w:t xml:space="preserve"> </w:t>
      </w:r>
      <m:oMath>
        <m:r>
          <m:rPr>
            <m:nor/>
            <m:sty m:val="p"/>
          </m:rPr>
          <m:t>ln</m:t>
        </m:r>
        <m:r>
          <m:t>p</m:t>
        </m:r>
      </m:oMath>
      <w:r>
        <w:t xml:space="preserve">, with steps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respectively.</w:t>
      </w:r>
    </w:p>
    <w:p>
      <w:pPr>
        <w:pStyle w:val="BodyText"/>
      </w:pPr>
      <w:r>
        <w:rPr>
          <w:bCs/>
          <w:b/>
        </w:rPr>
        <w:t xml:space="preserve">Graph input–output form.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r>
          <m:t>μ</m:t>
        </m:r>
        <m:r>
          <m:t>B</m:t>
        </m:r>
        <m:r>
          <m:t>C</m:t>
        </m:r>
      </m:oMath>
      <w:r>
        <w:t xml:space="preserve">, 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carries the</w:t>
      </w:r>
      <w:r>
        <w:t xml:space="preserve"> </w:t>
      </w:r>
      <w:r>
        <w:t xml:space="preserve">neighbour sums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into a cell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reads out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, Sylvester’s identity gives</w:t>
      </w:r>
      <w:r>
        <w:t xml:space="preserve"> </w:t>
      </w:r>
      <m:oMath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  <m:r>
          <m:rPr>
            <m:nor/>
            <m:sty m:val="p"/>
          </m:rPr>
          <m:t>det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μ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  <m:sSubSup>
          <m:e>
            <m:r>
              <m:t>J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B</m:t>
        </m:r>
      </m:oMath>
      <w:r>
        <w:t xml:space="preserve">. We verified this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relative error.</w:t>
      </w:r>
    </w:p>
    <w:p>
      <w:pPr>
        <w:pStyle w:val="BodyText"/>
      </w:pPr>
      <w:r>
        <w:rPr>
          <w:bCs/>
          <w:b/>
        </w:rPr>
        <w:t xml:space="preserve">Critical point.</w:t>
      </w:r>
      <w:r>
        <w:t xml:space="preserve"> </w:t>
      </w:r>
      <w:r>
        <w:t xml:space="preserve">The value of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at which the leading eigenvalue of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 </w:t>
      </w:r>
      <w:r>
        <w:t xml:space="preserve">crosses</w:t>
      </w:r>
      <w:r>
        <w:t xml:space="preserve"> </w:t>
      </w:r>
      <w:r>
        <w:t xml:space="preserve">zero, and the value at which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were each found by Brent’s method on</w:t>
      </w:r>
      <w:r>
        <w:t xml:space="preserve"> </w:t>
      </w:r>
      <m:oMath>
        <m:r>
          <m:rPr>
            <m:sty m:val="p"/>
          </m:rPr>
          <m:t>[</m:t>
        </m:r>
        <m:r>
          <m:t>1.2</m:t>
        </m:r>
        <m:r>
          <m:rPr>
            <m:sty m:val="p"/>
          </m:rPr>
          <m:t>,</m:t>
        </m:r>
        <m:r>
          <m:t>1.4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Global sample.</w:t>
      </w:r>
      <w:r>
        <w:t xml:space="preserve"> </w:t>
      </w:r>
      <w:r>
        <w:t xml:space="preserve">4000 points were drawn by Latin-hypercube sampling [16] (SciPy</w:t>
      </w:r>
      <w:r>
        <w:t xml:space="preserve"> </w:t>
      </w:r>
      <w:r>
        <w:rPr>
          <w:rStyle w:val="VerbatimChar"/>
        </w:rPr>
        <w:t xml:space="preserve">qmc.LatinHypercube</w:t>
      </w:r>
      <w:r>
        <w:t xml:space="preserve">, seed 20260817) [17] over the ranges given in Table 1. For each point we</w:t>
      </w:r>
      <w:r>
        <w:t xml:space="preserve"> </w:t>
      </w:r>
      <w:r>
        <w:t xml:space="preserve">computed:</w:t>
      </w:r>
    </w:p>
    <w:p>
      <w:pPr>
        <w:numPr>
          <w:ilvl w:val="0"/>
          <w:numId w:val="1006"/>
        </w:numPr>
        <w:pStyle w:val="Compact"/>
      </w:pPr>
      <w:r>
        <w:t xml:space="preserve">the unique steady state (Section 2.3);</w:t>
      </w:r>
    </w:p>
    <w:p>
      <w:pPr>
        <w:numPr>
          <w:ilvl w:val="0"/>
          <w:numId w:val="1006"/>
        </w:numPr>
        <w:pStyle w:val="Compact"/>
      </w:pPr>
      <w:r>
        <w:t xml:space="preserve">the leading eigenvalue of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for all 54 distinct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numPr>
          <w:ilvl w:val="0"/>
          <w:numId w:val="1006"/>
        </w:numPr>
        <w:pStyle w:val="Compact"/>
      </w:pP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the number of right-half-plane eigenvalues of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both directly and from the winding</w:t>
      </w:r>
      <w:r>
        <w:t xml:space="preserve"> </w:t>
      </w:r>
      <w:r>
        <w:t xml:space="preserve">number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(</m:t>
        </m:r>
        <m:r>
          <m:t>i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on a logarithmic frequency grid.</w:t>
      </w:r>
    </w:p>
    <w:p>
      <w:pPr>
        <w:pStyle w:val="FirstParagraph"/>
      </w:pPr>
      <w:r>
        <w:t xml:space="preserve">The random search of Section 3.3 used the same procedure with a fixed seed.</w:t>
      </w:r>
    </w:p>
    <w:p>
      <w:pPr>
        <w:pStyle w:val="BodyText"/>
      </w:pPr>
      <w:r>
        <w:rPr>
          <w:bCs/>
          <w:b/>
        </w:rPr>
        <w:t xml:space="preserve">Reductions.</w:t>
      </w:r>
      <w:r>
        <w:t xml:space="preserve"> </w:t>
      </w:r>
      <w:r>
        <w:t xml:space="preserve">The DNA reduction replaces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sSub>
          <m:e>
            <m: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Delta</w:t>
      </w:r>
      <w:r>
        <w:t xml:space="preserve"> </w:t>
      </w:r>
      <w:r>
        <w:t xml:space="preserve">production term. The DN reduction also replaces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t>N</m:t>
        </m:r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. Their Jacobians are the</w:t>
      </w:r>
      <w:r>
        <w:t xml:space="preserve"> </w:t>
      </w:r>
      <w:r>
        <w:t xml:space="preserve">Schur complements of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with respect to the eliminated variables.</w:t>
      </w:r>
    </w:p>
    <w:p>
      <w:pPr>
        <w:pStyle w:val="BodyText"/>
      </w:pPr>
      <w:r>
        <w:rPr>
          <w:bCs/>
          <w:b/>
        </w:rPr>
        <w:t xml:space="preserve">Nonlinear simulations.</w:t>
      </w:r>
      <w:r>
        <w:t xml:space="preserve"> </w:t>
      </w:r>
      <w:r>
        <w:t xml:space="preserve">The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lattice (</w:t>
      </w:r>
      <m:oMath>
        <m:r>
          <m:t>2304</m:t>
        </m:r>
      </m:oMath>
      <w:r>
        <w:t xml:space="preserve"> </w:t>
      </w:r>
      <w:r>
        <w:t xml:space="preserve">equations for the full model) was</w:t>
      </w:r>
      <w:r>
        <w:t xml:space="preserve"> </w:t>
      </w:r>
      <w:r>
        <w:t xml:space="preserve">integrated with the adaptive DOP853 method [17] at relative and absolute tolerances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 The initial state was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ε</m:t>
        </m:r>
        <m:r>
          <m:t> </m:t>
        </m:r>
        <m:r>
          <m:t>v</m:t>
        </m:r>
        <m:r>
          <m:rPr>
            <m:nor/>
            <m:sty m:val="p"/>
          </m:rPr>
          <m:t>cos</m:t>
        </m:r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, with:</w:t>
      </w:r>
    </w:p>
    <w:p>
      <w:pPr>
        <w:numPr>
          <w:ilvl w:val="0"/>
          <w:numId w:val="1007"/>
        </w:numPr>
        <w:pStyle w:val="Compact"/>
      </w:pPr>
      <m:oMath>
        <m:r>
          <m:t>v</m:t>
        </m:r>
      </m:oMath>
      <w:r>
        <w:t xml:space="preserve"> </w:t>
      </w:r>
      <w:r>
        <w:t xml:space="preserve">the real eigenvector of the leading eigenvalue of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 </w:t>
      </w:r>
      <w:r>
        <w:t xml:space="preserve">(or of its DNA reduction);</w:t>
      </w:r>
    </w:p>
    <w:p>
      <w:pPr>
        <w:numPr>
          <w:ilvl w:val="0"/>
          <w:numId w:val="1007"/>
        </w:numPr>
        <w:pStyle w:val="Compact"/>
      </w:pP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(</m:t>
        </m:r>
        <m:r>
          <m:t>8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16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24</m:t>
        </m:r>
      </m:oMath>
      <w:r>
        <w:t xml:space="preserve">;</w:t>
      </w:r>
    </w:p>
    <w:p>
      <w:pPr>
        <w:numPr>
          <w:ilvl w:val="0"/>
          <w:numId w:val="1007"/>
        </w:numPr>
        <w:pStyle w:val="Compact"/>
      </w:pPr>
      <m:oMath>
        <m:r>
          <m:t>ε</m:t>
        </m:r>
      </m:oMath>
      <w:r>
        <w:t xml:space="preserve"> </w:t>
      </w:r>
      <w:r>
        <w:t xml:space="preserve">chosen so that the Delta component has relative amplitude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whole 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scaled by one number. Scaling each component by its steady-state value,</w:t>
      </w:r>
      <w:r>
        <w:t xml:space="preserve"> </w:t>
      </w:r>
      <w:r>
        <w:t xml:space="preserve">as in the earlier version, does not give an eigenvector, and it adds a transient with an early</w:t>
      </w:r>
      <w:r>
        <w:t xml:space="preserve"> </w:t>
      </w:r>
      <w:r>
        <w:t xml:space="preserve">slope of 0.44 instead of 0.103 at P2 (Fig. S1). The read-out is the amplitude of the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)</m:t>
        </m:r>
      </m:oMath>
      <w:r>
        <w:t xml:space="preserve"> </w:t>
      </w:r>
      <w:r>
        <w:t xml:space="preserve">Fourier component of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D</m:t>
            </m:r>
          </m:e>
        </m:acc>
      </m:oMath>
      <w:r>
        <w:t xml:space="preserve">. Its logarithm was fitted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the first</w:t>
      </w:r>
      <w:r>
        <w:t xml:space="preserve"> </w:t>
      </w:r>
      <w:r>
        <w:t xml:space="preserve">time the amplitude reached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 rule fixed before the runs.</w:t>
      </w:r>
    </w:p>
    <w:p>
      <w:pPr>
        <w:pStyle w:val="BodyText"/>
      </w:pPr>
      <w:r>
        <w:rPr>
          <w:bCs/>
          <w:b/>
        </w:rPr>
        <w:t xml:space="preserve">Code and data.</w:t>
      </w:r>
      <w:r>
        <w:t xml:space="preserve"> </w:t>
      </w:r>
      <w:r>
        <w:t xml:space="preserve">All code, data and figure scripts are at</w:t>
      </w:r>
      <w:r>
        <w:t xml:space="preserve"> </w:t>
      </w:r>
      <w:r>
        <w:t xml:space="preserve">https://github.com/HyeonjeYang/notch-delta-feedback-patterning, together with a test suite of</w:t>
      </w:r>
      <w:r>
        <w:t xml:space="preserve"> </w:t>
      </w:r>
      <w:r>
        <w:t xml:space="preserve">341 checks. The checks include every analytic statement above, evaluated on random parameter</w:t>
      </w:r>
      <w:r>
        <w:t xml:space="preserve"> </w:t>
      </w:r>
      <w:r>
        <w:t xml:space="preserve">sets.</w:t>
      </w:r>
      <w:r>
        <w:t xml:space="preserve"> </w:t>
      </w:r>
      <w:r>
        <w:rPr>
          <w:rStyle w:val="VerbatimChar"/>
        </w:rPr>
        <w:t xml:space="preserve">docs/MANUSCRIPT_NUMBERS.md</w:t>
      </w:r>
      <w:r>
        <w:t xml:space="preserve"> </w:t>
      </w:r>
      <w:r>
        <w:t xml:space="preserve">gives the script and file behind every number. The version</w:t>
      </w:r>
      <w:r>
        <w:t xml:space="preserve"> </w:t>
      </w:r>
      <w:r>
        <w:t xml:space="preserve">that accompanied the first submission is preserved in the repository’s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folder.</w:t>
      </w:r>
    </w:p>
    <w:bookmarkEnd w:id="32"/>
    <w:bookmarkStart w:id="33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rPr>
          <w:bCs/>
          <w:b/>
        </w:rPr>
        <w:t xml:space="preserve">Supplementary Note 1</w:t>
      </w:r>
      <w:r>
        <w:t xml:space="preserve"> </w:t>
      </w:r>
      <w:r>
        <w:t xml:space="preserve">(proofs of uniqueness, of properties (i)–(iii), of the reduction</w:t>
      </w:r>
      <w:r>
        <w:t xml:space="preserve"> </w:t>
      </w:r>
      <w:r>
        <w:t xml:space="preserve">identities and of the slow-proneural limit) corresponds to</w:t>
      </w:r>
      <w:r>
        <w:t xml:space="preserve"> </w:t>
      </w:r>
      <w:r>
        <w:rPr>
          <w:rStyle w:val="VerbatimChar"/>
        </w:rPr>
        <w:t xml:space="preserve">docs/THEORY.md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is to be typeset as a supplement.</w:t>
      </w:r>
    </w:p>
    <w:bookmarkEnd w:id="33"/>
    <w:bookmarkStart w:id="34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I sincerely thank Professor Philip Nelson for helpful discussions and thoughtful feedback on this</w:t>
      </w:r>
      <w:r>
        <w:t xml:space="preserve"> </w:t>
      </w:r>
      <w:r>
        <w:t xml:space="preserve">work.</w:t>
      </w:r>
    </w:p>
    <w:bookmarkEnd w:id="34"/>
    <w:bookmarkStart w:id="35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8"/>
        </w:numPr>
        <w:pStyle w:val="Compact"/>
      </w:pPr>
      <w:r>
        <w:t xml:space="preserve">J. R. Collier, N. A. M. Monk, P. K. Maini, J. H. Lewis. Pattern formation by lateral inhibition with feedback: a mathematical model of Delta–Notch intercellular signalling.</w:t>
      </w:r>
      <w:r>
        <w:t xml:space="preserve"> </w:t>
      </w:r>
      <w:r>
        <w:rPr>
          <w:iCs/>
          <w:i/>
        </w:rPr>
        <w:t xml:space="preserve">J. Theor. Biol.</w:t>
      </w:r>
      <w:r>
        <w:t xml:space="preserve"> </w:t>
      </w:r>
      <w:r>
        <w:t xml:space="preserve">183, 429–446 (1996). doi:10.1006/jtbi.1996.0233</w:t>
      </w:r>
    </w:p>
    <w:p>
      <w:pPr>
        <w:numPr>
          <w:ilvl w:val="0"/>
          <w:numId w:val="1008"/>
        </w:numPr>
        <w:pStyle w:val="Compact"/>
      </w:pPr>
      <w:r>
        <w:t xml:space="preserve">D. Sprinzak et al. Cis-interactions between Notch and Delta generate mutually exclusive signalling states.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465, 86–90 (2010). doi:10.1038/nature08959</w:t>
      </w:r>
    </w:p>
    <w:p>
      <w:pPr>
        <w:numPr>
          <w:ilvl w:val="0"/>
          <w:numId w:val="1008"/>
        </w:numPr>
        <w:pStyle w:val="Compact"/>
      </w:pPr>
      <w:r>
        <w:t xml:space="preserve">C. V. Cabrera. Lateral inhibition and cell fate during neurogenesis in</w:t>
      </w:r>
      <w:r>
        <w:t xml:space="preserve"> </w:t>
      </w:r>
      <w:r>
        <w:rPr>
          <w:iCs/>
          <w:i/>
        </w:rPr>
        <w:t xml:space="preserve">Drosophila</w:t>
      </w:r>
      <w:r>
        <w:t xml:space="preserve">: the interactions between</w:t>
      </w:r>
      <w:r>
        <w:t xml:space="preserve"> </w:t>
      </w:r>
      <w:r>
        <w:rPr>
          <w:iCs/>
          <w:i/>
        </w:rPr>
        <w:t xml:space="preserve">scute</w:t>
      </w:r>
      <w:r>
        <w:t xml:space="preserve">,</w:t>
      </w:r>
      <w:r>
        <w:t xml:space="preserve"> </w:t>
      </w:r>
      <w:r>
        <w:rPr>
          <w:iCs/>
          <w:i/>
        </w:rPr>
        <w:t xml:space="preserve">Notch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Delta</w:t>
      </w:r>
      <w:r>
        <w:t xml:space="preserve">.</w:t>
      </w:r>
      <w:r>
        <w:t xml:space="preserve"> </w:t>
      </w:r>
      <w:r>
        <w:rPr>
          <w:iCs/>
          <w:i/>
        </w:rPr>
        <w:t xml:space="preserve">Development</w:t>
      </w:r>
      <w:r>
        <w:t xml:space="preserve"> </w:t>
      </w:r>
      <w:r>
        <w:t xml:space="preserve">109, 733–742 (1990). doi:10.1242/dev.109.3.733</w:t>
      </w:r>
    </w:p>
    <w:p>
      <w:pPr>
        <w:numPr>
          <w:ilvl w:val="0"/>
          <w:numId w:val="1008"/>
        </w:numPr>
        <w:pStyle w:val="Compact"/>
      </w:pPr>
      <w:r>
        <w:t xml:space="preserve">J. Culí, J. Modolell. Proneural gene self-stimulation in neural precursors: an essential mechanism for sense organ development that is regulated by Notch signaling.</w:t>
      </w:r>
      <w:r>
        <w:t xml:space="preserve"> </w:t>
      </w:r>
      <w:r>
        <w:rPr>
          <w:iCs/>
          <w:i/>
        </w:rPr>
        <w:t xml:space="preserve">Genes Dev.</w:t>
      </w:r>
      <w:r>
        <w:t xml:space="preserve"> </w:t>
      </w:r>
      <w:r>
        <w:t xml:space="preserve">12, 2036–2047 (1998). doi:10.1101/gad.12.13.2036</w:t>
      </w:r>
    </w:p>
    <w:p>
      <w:pPr>
        <w:numPr>
          <w:ilvl w:val="0"/>
          <w:numId w:val="1008"/>
        </w:numPr>
        <w:pStyle w:val="Compact"/>
      </w:pPr>
      <w:r>
        <w:t xml:space="preserve">B. Jennings, J. de Celis, C. Delidakis, A. Preiss, S. Bray. Role of Notch and achaete-scute complex in the expression of Enhancer of split bHLH proteins.</w:t>
      </w:r>
      <w:r>
        <w:t xml:space="preserve"> </w:t>
      </w:r>
      <w:r>
        <w:rPr>
          <w:iCs/>
          <w:i/>
        </w:rPr>
        <w:t xml:space="preserve">Development</w:t>
      </w:r>
      <w:r>
        <w:t xml:space="preserve"> </w:t>
      </w:r>
      <w:r>
        <w:t xml:space="preserve">121, 3745–3752 (1995). doi:10.1242/dev.121.11.3745</w:t>
      </w:r>
    </w:p>
    <w:p>
      <w:pPr>
        <w:numPr>
          <w:ilvl w:val="0"/>
          <w:numId w:val="1008"/>
        </w:numPr>
        <w:pStyle w:val="Compact"/>
      </w:pPr>
      <w:r>
        <w:t xml:space="preserve">F. Corson, L. Couturier, H. Rouault, K. Mazouni, F. Schweisguth. Self-organized Notch dynamics generate stereotyped sensory organ patterns in</w:t>
      </w:r>
      <w:r>
        <w:t xml:space="preserve"> </w:t>
      </w:r>
      <w:r>
        <w:rPr>
          <w:iCs/>
          <w:i/>
        </w:rPr>
        <w:t xml:space="preserve">Drosophila</w:t>
      </w:r>
      <w:r>
        <w:t xml:space="preserve">.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356, eaai7407 (2017). doi:10.1126/science.aai7407</w:t>
      </w:r>
    </w:p>
    <w:p>
      <w:pPr>
        <w:numPr>
          <w:ilvl w:val="0"/>
          <w:numId w:val="1008"/>
        </w:numPr>
        <w:pStyle w:val="Compact"/>
      </w:pPr>
      <w:r>
        <w:t xml:space="preserve">D. Sprinzak, A. Lakhanpal, L. LeBon, J. Garcia-Ojalvo, M. B. Elowitz. Mutual inactivation of Notch receptors and ligands facilitates developmental patterning.</w:t>
      </w:r>
      <w:r>
        <w:t xml:space="preserve"> </w:t>
      </w:r>
      <w:r>
        <w:rPr>
          <w:iCs/>
          <w:i/>
        </w:rPr>
        <w:t xml:space="preserve">PLoS Comput. Biol.</w:t>
      </w:r>
      <w:r>
        <w:t xml:space="preserve"> </w:t>
      </w:r>
      <w:r>
        <w:t xml:space="preserve">7, e1002069 (2011). doi:10.1371/journal.pcbi.1002069</w:t>
      </w:r>
    </w:p>
    <w:p>
      <w:pPr>
        <w:numPr>
          <w:ilvl w:val="0"/>
          <w:numId w:val="1008"/>
        </w:numPr>
        <w:pStyle w:val="Compact"/>
      </w:pPr>
      <w:r>
        <w:t xml:space="preserve">P. Formosa-Jordan, M. Ibañes. Competition in Notch signaling with cis enriches cell fate decisions.</w:t>
      </w:r>
      <w:r>
        <w:t xml:space="preserve"> </w:t>
      </w:r>
      <w:r>
        <w:rPr>
          <w:iCs/>
          <w:i/>
        </w:rPr>
        <w:t xml:space="preserve">PLoS One</w:t>
      </w:r>
      <w:r>
        <w:t xml:space="preserve"> </w:t>
      </w:r>
      <w:r>
        <w:t xml:space="preserve">9, e95744 (2014). doi:10.1371/journal.pone.0095744</w:t>
      </w:r>
    </w:p>
    <w:p>
      <w:pPr>
        <w:numPr>
          <w:ilvl w:val="0"/>
          <w:numId w:val="1008"/>
        </w:numPr>
        <w:pStyle w:val="Compact"/>
      </w:pPr>
      <w:r>
        <w:t xml:space="preserve">U. Binshtok, D. Sprinzak. Modeling the Notch response.</w:t>
      </w:r>
      <w:r>
        <w:t xml:space="preserve"> </w:t>
      </w:r>
      <w:r>
        <w:rPr>
          <w:iCs/>
          <w:i/>
        </w:rPr>
        <w:t xml:space="preserve">Adv. Exp. Med. Biol.</w:t>
      </w:r>
      <w:r>
        <w:t xml:space="preserve"> </w:t>
      </w:r>
      <w:r>
        <w:t xml:space="preserve">1066, 79–98 (2018). doi:10.1007/978-3-319-89512-3_5</w:t>
      </w:r>
    </w:p>
    <w:p>
      <w:pPr>
        <w:numPr>
          <w:ilvl w:val="0"/>
          <w:numId w:val="1008"/>
        </w:numPr>
        <w:pStyle w:val="Compact"/>
      </w:pPr>
      <w:r>
        <w:t xml:space="preserve">H. J. Wearing, M. R. Owen, J. A. Sherratt. Mathematical modelling of juxtacrine patterning.</w:t>
      </w:r>
      <w:r>
        <w:t xml:space="preserve"> </w:t>
      </w:r>
      <w:r>
        <w:rPr>
          <w:iCs/>
          <w:i/>
        </w:rPr>
        <w:t xml:space="preserve">Bull. Math. Biol.</w:t>
      </w:r>
      <w:r>
        <w:t xml:space="preserve"> </w:t>
      </w:r>
      <w:r>
        <w:t xml:space="preserve">62, 293–320 (2000). doi:10.1006/bulm.1999.0152</w:t>
      </w:r>
    </w:p>
    <w:p>
      <w:pPr>
        <w:numPr>
          <w:ilvl w:val="0"/>
          <w:numId w:val="1008"/>
        </w:numPr>
        <w:pStyle w:val="Compact"/>
      </w:pPr>
      <w:r>
        <w:t xml:space="preserve">M. Arcak. Pattern formation by lateral inhibition in large-scale networks of cells.</w:t>
      </w:r>
      <w:r>
        <w:t xml:space="preserve"> </w:t>
      </w:r>
      <w:r>
        <w:rPr>
          <w:iCs/>
          <w:i/>
        </w:rPr>
        <w:t xml:space="preserve">IEEE Trans. Autom. Control</w:t>
      </w:r>
      <w:r>
        <w:t xml:space="preserve"> </w:t>
      </w:r>
      <w:r>
        <w:t xml:space="preserve">58, 1250–1262 (2013).</w:t>
      </w:r>
    </w:p>
    <w:p>
      <w:pPr>
        <w:numPr>
          <w:ilvl w:val="0"/>
          <w:numId w:val="1008"/>
        </w:numPr>
        <w:pStyle w:val="Compact"/>
      </w:pPr>
      <w:r>
        <w:t xml:space="preserve">A. S. Rufino Ferreira, M. Arcak. A graph partitioning approach to predicting patterns in lateral inhibition systems.</w:t>
      </w:r>
      <w:r>
        <w:t xml:space="preserve"> </w:t>
      </w:r>
      <w:r>
        <w:rPr>
          <w:iCs/>
          <w:i/>
        </w:rPr>
        <w:t xml:space="preserve">SIAM J. Appl. Dyn. Syst.</w:t>
      </w:r>
      <w:r>
        <w:t xml:space="preserve"> </w:t>
      </w:r>
      <w:r>
        <w:t xml:space="preserve">12, 2012–2031 (2013). doi:10.1137/130910142</w:t>
      </w:r>
    </w:p>
    <w:p>
      <w:pPr>
        <w:numPr>
          <w:ilvl w:val="0"/>
          <w:numId w:val="1008"/>
        </w:numPr>
        <w:pStyle w:val="Compact"/>
      </w:pPr>
      <w:r>
        <w:t xml:space="preserve">E. Teomy, D. A. Kessler, H. Levine. Ordered hexagonal patterns via Notch–Delta signaling.</w:t>
      </w:r>
      <w:r>
        <w:t xml:space="preserve"> </w:t>
      </w:r>
      <w:r>
        <w:rPr>
          <w:iCs/>
          <w:i/>
        </w:rPr>
        <w:t xml:space="preserve">Phys. Biol.</w:t>
      </w:r>
      <w:r>
        <w:t xml:space="preserve"> </w:t>
      </w:r>
      <w:r>
        <w:t xml:space="preserve">18 (6) (2021). doi:10.1088/1478-3975/ac28a4</w:t>
      </w:r>
    </w:p>
    <w:p>
      <w:pPr>
        <w:numPr>
          <w:ilvl w:val="0"/>
          <w:numId w:val="1008"/>
        </w:numPr>
        <w:pStyle w:val="Compact"/>
      </w:pPr>
      <w:r>
        <w:t xml:space="preserve">F. Berkemeier, K. M. Page. Coupling dynamics of 2D Notch–Delta signalling.</w:t>
      </w:r>
      <w:r>
        <w:t xml:space="preserve"> </w:t>
      </w:r>
      <w:r>
        <w:rPr>
          <w:iCs/>
          <w:i/>
        </w:rPr>
        <w:t xml:space="preserve">Math. Biosci.</w:t>
      </w:r>
      <w:r>
        <w:t xml:space="preserve"> </w:t>
      </w:r>
      <w:r>
        <w:t xml:space="preserve">360, 109012 (2023). doi:10.1016/j.mbs.2023.109012</w:t>
      </w:r>
    </w:p>
    <w:p>
      <w:pPr>
        <w:numPr>
          <w:ilvl w:val="0"/>
          <w:numId w:val="1008"/>
        </w:numPr>
        <w:pStyle w:val="Compact"/>
      </w:pPr>
      <w:r>
        <w:t xml:space="preserve">K. J. Åström, R. M. Murray.</w:t>
      </w:r>
      <w:r>
        <w:t xml:space="preserve"> </w:t>
      </w:r>
      <w:r>
        <w:rPr>
          <w:iCs/>
          <w:i/>
        </w:rPr>
        <w:t xml:space="preserve">Feedback Systems: An Introduction for Scientists and Engineers</w:t>
      </w:r>
      <w:r>
        <w:t xml:space="preserve">, 2nd ed. Princeton University Press (2021).</w:t>
      </w:r>
    </w:p>
    <w:p>
      <w:pPr>
        <w:numPr>
          <w:ilvl w:val="0"/>
          <w:numId w:val="1008"/>
        </w:numPr>
        <w:pStyle w:val="Compact"/>
      </w:pPr>
      <w:r>
        <w:t xml:space="preserve">M. D. McKay, R. J. Beckman, W. J. Conover. A comparison of three methods for selecting values of input variables in the analysis of output from a computer code.</w:t>
      </w:r>
      <w:r>
        <w:t xml:space="preserve"> </w:t>
      </w:r>
      <w:r>
        <w:rPr>
          <w:iCs/>
          <w:i/>
        </w:rPr>
        <w:t xml:space="preserve">Technometrics</w:t>
      </w:r>
      <w:r>
        <w:t xml:space="preserve"> </w:t>
      </w:r>
      <w:r>
        <w:t xml:space="preserve">21, 239–245 (1979). doi:10.1080/00401706.1979.10489755</w:t>
      </w:r>
    </w:p>
    <w:p>
      <w:pPr>
        <w:numPr>
          <w:ilvl w:val="0"/>
          <w:numId w:val="1008"/>
        </w:numPr>
        <w:pStyle w:val="Compact"/>
      </w:pPr>
      <w:r>
        <w:t xml:space="preserve">P. Virtanen et al. SciPy 1.0: fundamental algorithms for scientific computing in Python.</w:t>
      </w:r>
      <w:r>
        <w:t xml:space="preserve"> </w:t>
      </w:r>
      <w:r>
        <w:rPr>
          <w:iCs/>
          <w:i/>
        </w:rPr>
        <w:t xml:space="preserve">Nat. Methods</w:t>
      </w:r>
      <w:r>
        <w:t xml:space="preserve"> </w:t>
      </w:r>
      <w:r>
        <w:t xml:space="preserve">17, 261–272 (2020). doi:10.1038/s41592-019-0686-2</w:t>
      </w:r>
    </w:p>
    <w:bookmarkEnd w:id="35"/>
    <w:bookmarkStart w:id="36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rPr>
          <w:bCs/>
          <w:b/>
        </w:rPr>
        <w:t xml:space="preserve">Table 1.</w:t>
      </w:r>
      <w:r>
        <w:t xml:space="preserve"> </w:t>
      </w:r>
      <w:r>
        <w:t xml:space="preserve">Parameters. Baseline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global-sample ranges.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sampled range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max. Delta production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0.5–50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Notch production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0.1–10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max. proneural production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0.1–10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half-saturation (both Hill functions)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0.03–3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Hill coefficient,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→</m:t>
              </m:r>
              <m:r>
                <m:t>D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1–6 (linear)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Hill coefficient,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⊣</m:t>
              </m:r>
              <m:r>
                <m:t>S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1–6 (linear)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Delta, Notch loss</w:t>
            </w:r>
          </w:p>
        </w:tc>
        <w:tc>
          <w:p>
            <w:pPr>
              <w:pStyle w:val="Compact"/>
              <w:jc w:val="left"/>
            </w:pPr>
            <w:r>
              <w:t xml:space="preserve">0.1, 0.1</w:t>
            </w:r>
          </w:p>
        </w:tc>
        <w:tc>
          <w:p>
            <w:pPr>
              <w:pStyle w:val="Compact"/>
              <w:jc w:val="left"/>
            </w:pPr>
            <w:r>
              <w:t xml:space="preserve">0.01–1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activated-Notch loss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0.1–10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proneural loss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0.01–1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trans depletion of Delta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0.005–0.5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trans activation of Notch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0.06–6 (log)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cis mutual inactivation</w:t>
            </w:r>
          </w:p>
        </w:tc>
        <w:tc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p>
            <w:pPr>
              <w:pStyle w:val="Compact"/>
              <w:jc w:val="left"/>
            </w:pPr>
            <w:r>
              <w:t xml:space="preserve">0.035–3.5 (log)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What each level of description predicts (yes: predicted exactly; no: not predicted).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p>
            <w:pPr>
              <w:pStyle w:val="Compact"/>
              <w:jc w:val="left"/>
            </w:pPr>
            <w:r>
              <w:t xml:space="preserve">static graph criterion /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matched reduction (DNA, DN)</w:t>
            </w:r>
          </w:p>
        </w:tc>
        <w:tc>
          <w:p>
            <w:pPr>
              <w:pStyle w:val="Compact"/>
              <w:jc w:val="left"/>
            </w:pPr>
            <w:r>
              <w:t xml:space="preserve">explicit D–N–A–S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stationary onset (</w:t>
            </w:r>
            <m:oMath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 (identical)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 selected at stationary onset</w:t>
            </w:r>
          </w:p>
        </w:tc>
        <w:tc>
          <w:p>
            <w:pPr>
              <w:pStyle w:val="Compact"/>
              <w:jc w:val="left"/>
            </w:pPr>
            <w:r>
              <w:t xml:space="preserve">yes (property iii)</w:t>
            </w:r>
          </w:p>
        </w:tc>
        <w:tc>
          <w:p>
            <w:pPr>
              <w:pStyle w:val="Compact"/>
              <w:jc w:val="left"/>
            </w:pPr>
            <w:r>
              <w:t xml:space="preserve">yes (identical)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 rate / time to pattern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(4.9-fold median overestimate)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non-stationary instabilities</w:t>
            </w:r>
          </w:p>
        </w:tc>
        <w:tc>
          <w:p>
            <w:pPr>
              <w:pStyle w:val="Compact"/>
              <w:jc w:val="left"/>
            </w:pPr>
            <w:r>
              <w:t xml:space="preserve">no (12 missed)</w:t>
            </w:r>
          </w:p>
        </w:tc>
        <w:tc>
          <w:p>
            <w:pPr>
              <w:pStyle w:val="Compact"/>
              <w:jc w:val="left"/>
            </w:pPr>
            <w:r>
              <w:t xml:space="preserve">no (26 spurious, DNA)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 of patterned steady states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 (identical set)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6"/>
    <w:bookmarkStart w:id="44" w:name="figures"/>
    <w:p>
      <w:pPr>
        <w:pStyle w:val="Heading1"/>
      </w:pPr>
      <w:r>
        <w:t xml:space="preserve">Figures</w:t>
      </w:r>
    </w:p>
    <w:p>
      <w:pPr>
        <w:pStyle w:val="CaptionedFigure"/>
      </w:pPr>
      <w:r>
        <w:drawing>
          <wp:inline>
            <wp:extent cx="5334000" cy="5373323"/>
            <wp:effectExtent b="0" l="0" r="0" t="0"/>
            <wp:docPr descr="Figure 1. Circuit and contact geometry. (A) The intracellular circuit of cell i and its contacts with a neighbour j. Proneural activity S drives Delta D. Neighbouring Delta activates Notch N, producing activated Notch A. A represses S. Cis inactivation couples D and N within a cell. (B) Each cell contacts six neighbours (hexagonal tiling; polygons show contact topology, not measured cell shape). (C) The three-sublattice pattern spanned by the \mu=-3 eigenvectors. (D) Eigenvalue \mu(m,n) of the contact adjacency matrix over all 24\times24 plane-wave indices (m,n) (Eq. 2). Circle: uniform mode, \mu=6. Squares: the two three-sublattice modes, \mu=-3." title="" id="1" name="Picture"/>
            <a:graphic>
              <a:graphicData uri="http://schemas.openxmlformats.org/drawingml/2006/picture">
                <pic:pic>
                  <pic:nvPicPr>
                    <pic:cNvPr descr="../figures/main/Fig1_circuit_and_geomet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 Circuit and contact geometry.</w:t>
      </w:r>
      <w:r>
        <w:t xml:space="preserve"> </w:t>
      </w:r>
      <w:r>
        <w:t xml:space="preserve">(A) The intracellular circuit of cell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its contacts with a neighbour</w:t>
      </w:r>
      <w:r>
        <w:t xml:space="preserve"> </w:t>
      </w:r>
      <m:oMath>
        <m:r>
          <m:t>j</m:t>
        </m:r>
      </m:oMath>
      <w:r>
        <w:t xml:space="preserve">. Proneural activity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drives Delta</w:t>
      </w:r>
      <w:r>
        <w:t xml:space="preserve"> </w:t>
      </w:r>
      <m:oMath>
        <m:r>
          <m:t>D</m:t>
        </m:r>
      </m:oMath>
      <w:r>
        <w:t xml:space="preserve">. Neighbouring Delta activates Notch</w:t>
      </w:r>
      <w:r>
        <w:t xml:space="preserve"> </w:t>
      </w:r>
      <m:oMath>
        <m:r>
          <m:t>N</m:t>
        </m:r>
      </m:oMath>
      <w:r>
        <w:t xml:space="preserve">, producing activated Notch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represses</w:t>
      </w:r>
      <w:r>
        <w:t xml:space="preserve"> </w:t>
      </w:r>
      <m:oMath>
        <m:r>
          <m:t>S</m:t>
        </m:r>
      </m:oMath>
      <w:r>
        <w:t xml:space="preserve">. Cis inactivation couples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within a cell. (B) Each cell contacts six neighbours (hexagonal tiling; polygons show contact topology, not measured cell shape). (C) The three-sublattice pattern spanned by the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eigenvectors. (D) Eigenvalue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contact adjacency matrix over all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t xml:space="preserve">plane-wave indices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(Eq. 2). Circle: uniform mode,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. Squares: the two three-sublattice modes,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250747"/>
            <wp:effectExtent b="0" l="0" r="0" t="0"/>
            <wp:docPr descr="Figure 2. The static loop gain fixes stationary onset and the selected mode. (A) Static loop gain G(\mu) over every distinct graph eigenvalue at \lambda_N=1 (p_0), \lambda_N^c, 2 (P2) and 5.623 (P3). Markers show the maximum, which is at \mu=-3 in every case. Dashed line: G=1. (B) Leading eigenvalue of J_\mu for \mu=-3 and \mu=6 as \lambda_N varies, all other parameters at p_0. Dotted line: \lambda_N^c. (C) G(-3) versus \lambda_N. It crosses one at \lambda_N^c=1.304815343, where the eigenvalue in (B) crosses zero." title="" id="1" name="Picture"/>
            <a:graphic>
              <a:graphicData uri="http://schemas.openxmlformats.org/drawingml/2006/picture">
                <pic:pic>
                  <pic:nvPicPr>
                    <pic:cNvPr descr="../figures/main/Fig2_static_loop_ga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 The static loop gain fixes stationary onset and the selected mode.</w:t>
      </w:r>
      <w:r>
        <w:t xml:space="preserve"> </w:t>
      </w:r>
      <w:r>
        <w:t xml:space="preserve">(A) Static loop gain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over every distinct graph eigenvalue at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m:oMath>
        <m:sSubSup>
          <m:e>
            <m:r>
              <m:t>λ</m:t>
            </m:r>
          </m:e>
          <m:sub>
            <m:r>
              <m:t>N</m:t>
            </m:r>
          </m:sub>
          <m:sup>
            <m:r>
              <m:t>c</m:t>
            </m:r>
          </m:sup>
        </m:sSubSup>
      </m:oMath>
      <w:r>
        <w:t xml:space="preserve">, 2 (P2) and 5.623 (P3). Markers show the maximum, which is at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in every case. Dashed line: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 (B) Leading eigenvalue of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varies, all other parameters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. Dotted line:</w:t>
      </w:r>
      <w:r>
        <w:t xml:space="preserve"> </w:t>
      </w:r>
      <m:oMath>
        <m:sSubSup>
          <m:e>
            <m:r>
              <m:t>λ</m:t>
            </m:r>
          </m:e>
          <m:sub>
            <m:r>
              <m:t>N</m:t>
            </m:r>
          </m:sub>
          <m:sup>
            <m:r>
              <m:t>c</m:t>
            </m:r>
          </m:sup>
        </m:sSubSup>
      </m:oMath>
      <w:r>
        <w:t xml:space="preserve">. (C)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. It crosses one at</w:t>
      </w:r>
      <w:r>
        <w:t xml:space="preserve"> </w:t>
      </w:r>
      <m:oMath>
        <m:sSubSup>
          <m:e>
            <m:r>
              <m:t>λ</m:t>
            </m:r>
          </m:e>
          <m:sub>
            <m:r>
              <m:t>N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r>
          <m:t>1.304815343</m:t>
        </m:r>
      </m:oMath>
      <w:r>
        <w:t xml:space="preserve">, where the eigenvalue in (B) crosses zero.</w:t>
      </w:r>
    </w:p>
    <w:p>
      <w:pPr>
        <w:pStyle w:val="CaptionedFigure"/>
      </w:pPr>
      <w:r>
        <w:drawing>
          <wp:inline>
            <wp:extent cx="5334000" cy="4404650"/>
            <wp:effectExtent b="0" l="0" r="0" t="0"/>
            <wp:docPr descr="Figure 3. Kinetic control of the static margin. (A) Logarithmic sensitivity of G(-3) to each parameter at p_0 (bars), split into contributions through the three stage gains \kappa_D, T_{-3} and \kappa_S (markers). (B) Static sensitivity, \partial\ln G(-3)/\partial\ln p, against growth-rate sensitivity, \partial\lambda_\mathrm{pattern}/\partial\ln p. \lambda_S and d_S have equal and opposite static effects but unequal effects on the growth rate. (C, D) \lambda_\mathrm{pattern} on the (\lambda_N,d_A) and (n_S,K_d) planes, other parameters at p_0. Black contour: \lambda_\mathrm{pattern}=0. Dashed white contour: G(-3)=1. The two coincide." title="" id="1" name="Picture"/>
            <a:graphic>
              <a:graphicData uri="http://schemas.openxmlformats.org/drawingml/2006/picture">
                <pic:pic>
                  <pic:nvPicPr>
                    <pic:cNvPr descr="../figures/main/Fig3_kinetic_contro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3. Kinetic control of the static margin.</w:t>
      </w:r>
      <w:r>
        <w:t xml:space="preserve"> </w:t>
      </w:r>
      <w:r>
        <w:t xml:space="preserve">(A) Logarithmic sensitivity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parameter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(bars), split into contributions through the three stage gains</w:t>
      </w:r>
      <w:r>
        <w:t xml:space="preserve"> </w:t>
      </w:r>
      <m:oMath>
        <m:sSub>
          <m:e>
            <m:r>
              <m:t>κ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κ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(markers). (B) Static sensitivity,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ln</m:t>
        </m:r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nor/>
            <m:sty m:val="p"/>
          </m:rPr>
          <m:t>ln</m:t>
        </m:r>
        <m:r>
          <m:t>p</m:t>
        </m:r>
      </m:oMath>
      <w:r>
        <w:t xml:space="preserve">, against growth-rate sensitivity,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nor/>
            <m:sty m:val="p"/>
          </m:rPr>
          <m:t>ln</m:t>
        </m:r>
        <m:r>
          <m:t>p</m:t>
        </m:r>
      </m:oMath>
      <w:r>
        <w:t xml:space="preserve">.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have equal and opposite static effects but unequal effects on the growth rate. (C, D)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planes, other parameters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. Black contour: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Dashed white contour: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The two coincide.</w:t>
      </w:r>
    </w:p>
    <w:p>
      <w:pPr>
        <w:pStyle w:val="CaptionedFigure"/>
      </w:pPr>
      <w:r>
        <w:drawing>
          <wp:inline>
            <wp:extent cx="5334000" cy="2839570"/>
            <wp:effectExtent b="0" l="0" r="0" t="0"/>
            <wp:docPr descr="Figure 4. Instabilities that the static gain misses. (A) All 4000 global-sample points, plotted as G(-3) against \lambda_\mathrm{pattern} (values of G&lt;10^{-4}, all stable, are drawn at 10^{-4}). Points are coloured by the number of right-half-plane (RHP) eigenvalues of J_{-3}. Twelve points are unstable with G&lt;1; each has exactly two RHP eigenvalues. (B) Nyquist curves L_{-3}(i\omega) (bold: \omega\ge0; light: mirror image) for p_0, P2, and point 1730 (G=0.366). Dots: G=L_{-3}(0). Each curve encircles +1 once per RHP eigenvalue. (C) RHP eigenvalues of the twelve points: six complex pairs and six real pairs." title="" id="1" name="Picture"/>
            <a:graphic>
              <a:graphicData uri="http://schemas.openxmlformats.org/drawingml/2006/picture">
                <pic:pic>
                  <pic:nvPicPr>
                    <pic:cNvPr descr="../figures/main/Fig4_beyond_static_ga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4. Instabilities that the static gain misses.</w:t>
      </w:r>
      <w:r>
        <w:t xml:space="preserve"> </w:t>
      </w:r>
      <w:r>
        <w:t xml:space="preserve">(A) All 4000 global-sample points, plotted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(values of</w:t>
      </w:r>
      <w:r>
        <w:t xml:space="preserve"> </w:t>
      </w:r>
      <m:oMath>
        <m:r>
          <m:t>G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all stable, are drawn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 Points are coloured by the number of right-half-plane (RHP) eigenvalues of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 Twelve points are unstable with</w:t>
      </w:r>
      <w:r>
        <w:t xml:space="preserve"> </w:t>
      </w:r>
      <m:oMath>
        <m:r>
          <m:t>G</m:t>
        </m:r>
        <m:r>
          <m:rPr>
            <m:sty m:val="p"/>
          </m:rPr>
          <m:t>&lt;</m:t>
        </m:r>
        <m:r>
          <m:t>1</m:t>
        </m:r>
      </m:oMath>
      <w:r>
        <w:t xml:space="preserve">; each has exactly two RHP eigenvalues. (B) Nyquist curves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(</m:t>
        </m:r>
        <m:r>
          <m:t>i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(bold:</w:t>
      </w:r>
      <w:r>
        <w:t xml:space="preserve"> </w:t>
      </w:r>
      <m:oMath>
        <m:r>
          <m:t>ω</m:t>
        </m:r>
        <m:r>
          <m:rPr>
            <m:sty m:val="p"/>
          </m:rPr>
          <m:t>≥</m:t>
        </m:r>
        <m:r>
          <m:t>0</m:t>
        </m:r>
      </m:oMath>
      <w:r>
        <w:t xml:space="preserve">; light: mirror image) for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P2, and point 1730 (</w:t>
      </w:r>
      <m:oMath>
        <m:r>
          <m:t>G</m:t>
        </m:r>
        <m:r>
          <m:rPr>
            <m:sty m:val="p"/>
          </m:rPr>
          <m:t>=</m:t>
        </m:r>
        <m:r>
          <m:t>0.366</m:t>
        </m:r>
      </m:oMath>
      <w:r>
        <w:t xml:space="preserve">). Dots: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 Each curve encircles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once per RHP eigenvalue. (C) RHP eigenvalues of the twelve points: six complex pairs and six real pairs.</w:t>
      </w:r>
    </w:p>
    <w:p>
      <w:pPr>
        <w:pStyle w:val="CaptionedFigure"/>
      </w:pPr>
      <w:r>
        <w:drawing>
          <wp:inline>
            <wp:extent cx="5334000" cy="4578041"/>
            <wp:effectExtent b="0" l="0" r="0" t="0"/>
            <wp:docPr descr="Figure 5. The explicit downstream layer sets the tempo, not the onset. (A) Growth rate of the \mu=-3 mode at P2 along the family (\lambda_S,d_S)\to\alpha(\lambda_S,d_S), which leaves every steady state, every G(\mu) and \lambda_N^c unchanged. Dashed: slow-proneural limit d_S[G(-3)-1]. Horizontal lines: matched DNA and DN reductions. (B) Growth rate of the DNA reduction against the full model at all 1453 global-sample points where both are unstable. Dashed line: equal rates. (C) Nonlinear simulations at P2. Amplitude of the three-sublattice component of D (relative to D^*), for the full model and the DNA reduction, each started on its own exact eigenvector. Shaded spans: prespecified fitting windows. Dashed lines: predicted growth. (D) Final Delta fields of the two simulations, which coincide." title="" id="1" name="Picture"/>
            <a:graphic>
              <a:graphicData uri="http://schemas.openxmlformats.org/drawingml/2006/picture">
                <pic:pic>
                  <pic:nvPicPr>
                    <pic:cNvPr descr="../figures/main/Fig5_explicit_dynam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5. The explicit downstream layer sets the tempo, not the onset.</w:t>
      </w:r>
      <w:r>
        <w:t xml:space="preserve"> </w:t>
      </w:r>
      <w:r>
        <w:t xml:space="preserve">(A) Growth rate of the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mode at P2 along the family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α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 which leaves every steady state, every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λ</m:t>
            </m:r>
          </m:e>
          <m:sub>
            <m:r>
              <m:t>N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unchanged. Dashed: slow-proneural limit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. Horizontal lines: matched DNA and DN reductions. (B) Growth rate of the DNA reduction against the full model at all 1453 global-sample points where both are unstable. Dashed line: equal rates. (C) Nonlinear simulations at P2. Amplitude of the three-sublattice component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(relative to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 for the full model and the DNA reduction, each started on its own exact eigenvector. Shaded spans: prespecified fitting windows. Dashed lines: predicted growth. (D) Final Delta fields of the two simulations, which coincide.</w:t>
      </w:r>
    </w:p>
    <w:p>
      <w:pPr>
        <w:pStyle w:val="CaptionedFigure"/>
      </w:pPr>
      <w:r>
        <w:drawing>
          <wp:inline>
            <wp:extent cx="5334000" cy="2821267"/>
            <wp:effectExtent b="0" l="0" r="0" t="0"/>
            <wp:docPr descr="Figure S1. Initial-state comparison. Growth of the three-sublattice amplitude at P2 (A) and P3 (B), started on the exact eigenvector or on the eigenvector scaled componentwise by the steady state (earlier protocol). Insets: t\le15, normalised to the initial amplitude. The componentwise start excites the other poles of J_{-3}. Its early slope (0.44 at P2, 0.57 at P3) differs from the predicted 0.103 and 0.216." title="" id="1" name="Picture"/>
            <a:graphic>
              <a:graphicData uri="http://schemas.openxmlformats.org/drawingml/2006/picture">
                <pic:pic>
                  <pic:nvPicPr>
                    <pic:cNvPr descr="../figures/supplementary/FigS1_initial_state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S1. Initial-state comparison.</w:t>
      </w:r>
      <w:r>
        <w:t xml:space="preserve"> </w:t>
      </w:r>
      <w:r>
        <w:t xml:space="preserve">Growth of the three-sublattice amplitude at P2 (A) and P3 (B), started on the exact eigenvector or on the eigenvector scaled componentwise by the steady state (earlier protocol). Insets: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15</m:t>
        </m:r>
      </m:oMath>
      <w:r>
        <w:t xml:space="preserve">, normalised to the initial amplitude. The componentwise start excites the other poles of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 Its early slope (0.44 at P2, 0.57 at P3) differs from the predicted 0.103 and 0.216.</w:t>
      </w:r>
    </w:p>
    <w:p>
      <w:pPr>
        <w:pStyle w:val="CaptionedFigure"/>
      </w:pPr>
      <w:r>
        <w:drawing>
          <wp:inline>
            <wp:extent cx="5334000" cy="3421289"/>
            <wp:effectExtent b="0" l="0" r="0" t="0"/>
            <wp:docPr descr="Figure S2. One-parameter continuations. \lambda_\mathrm{pattern} as each parameter is varied about p_0 (rates 0.1–10\times; Hill coefficients 1–6). Dotted: p_0 value. Dashed: G(-3)=1, which coincides with \lambda_\mathrm{pattern}=0 wherever a crossing occurs." title="" id="1" name="Picture"/>
            <a:graphic>
              <a:graphicData uri="http://schemas.openxmlformats.org/drawingml/2006/picture">
                <pic:pic>
                  <pic:nvPicPr>
                    <pic:cNvPr descr="../figures/supplementary/FigS2_one_parameter_continu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S2. One-parameter continuations.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as each parameter is varied about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(rates</w:t>
      </w:r>
      <w:r>
        <w:t xml:space="preserve"> </w:t>
      </w:r>
      <m:oMath>
        <m:r>
          <m:t>0.1</m:t>
        </m:r>
      </m:oMath>
      <w:r>
        <w:t xml:space="preserve">–</w:t>
      </w:r>
      <m:oMath>
        <m:r>
          <m:t>10</m:t>
        </m:r>
        <m:r>
          <m:rPr>
            <m:sty m:val="p"/>
          </m:rPr>
          <m:t>×</m:t>
        </m:r>
      </m:oMath>
      <w:r>
        <w:t xml:space="preserve">; Hill coefficients 1–6). Dotted: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value. Dashed: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which coincides with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wherever a crossing occurs.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Explicit Notch–proneural dynamics set the tempo, not the onset, of lateral-inhibition patterning</dc:title>
  <dc:creator>Hyeonje Yang</dc:creator>
  <cp:keywords/>
  <dcterms:created xsi:type="dcterms:W3CDTF">2026-10-16T01:30:31Z</dcterms:created>
  <dcterms:modified xsi:type="dcterms:W3CDTF">2026-10-16T01:30:31Z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Department of Biological Sciences, Seoul National University, Seoul, Republic of Korea (yanghj0206@snu.ac.kr). Revised manuscript draft, October 2026.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header-includes">
    <vt:lpwstr/>
  </property>
  <property fmtid="{D5CDD505-2E9C-101B-9397-08002B2CF9AE}" pid="6" name="linestretch">
    <vt:lpwstr>1.4</vt:lpwstr>
  </property>
</Properties>
</file>