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referees</w:t>
      </w:r>
    </w:p>
    <w:p>
      <w:pPr>
        <w:pStyle w:val="Subtitle"/>
      </w:pPr>
      <w:r>
        <w:t xml:space="preserve">Mode-resolved</w:t>
      </w:r>
      <w:r>
        <w:t xml:space="preserve"> </w:t>
      </w:r>
      <w:r>
        <w:t xml:space="preserve">feedback</w:t>
      </w:r>
      <w:r>
        <w:t xml:space="preserve"> </w:t>
      </w:r>
      <w:r>
        <w:t xml:space="preserve">gain</w:t>
      </w:r>
      <w:r>
        <w:t xml:space="preserve"> </w:t>
      </w:r>
      <w:r>
        <w:t xml:space="preserve">controls</w:t>
      </w:r>
      <w:r>
        <w:t xml:space="preserve"> </w:t>
      </w:r>
      <w:r>
        <w:t xml:space="preserve">spatial</w:t>
      </w:r>
      <w:r>
        <w:t xml:space="preserve"> </w:t>
      </w:r>
      <w:r>
        <w:t xml:space="preserve">symmetry</w:t>
      </w:r>
      <w:r>
        <w:t xml:space="preserve"> </w:t>
      </w:r>
      <w:r>
        <w:t xml:space="preserve">breaking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explicit</w:t>
      </w:r>
      <w:r>
        <w:t xml:space="preserve"> </w:t>
      </w:r>
      <w:r>
        <w:t xml:space="preserve">Notch–Delta–proneural</w:t>
      </w:r>
      <w:r>
        <w:t xml:space="preserve"> </w:t>
      </w:r>
      <w:r>
        <w:t xml:space="preserve">circuit</w:t>
      </w:r>
      <w:r>
        <w:t xml:space="preserve"> </w:t>
      </w:r>
      <w:r>
        <w:t xml:space="preserve">(revised</w:t>
      </w:r>
      <w:r>
        <w:t xml:space="preserve"> </w:t>
      </w:r>
      <w:r>
        <w:t xml:space="preserve">as:</w:t>
      </w:r>
      <w:r>
        <w:t xml:space="preserve"> </w:t>
      </w:r>
      <w:r>
        <w:t xml:space="preserve">Explicit</w:t>
      </w:r>
      <w:r>
        <w:t xml:space="preserve"> </w:t>
      </w:r>
      <w:r>
        <w:t xml:space="preserve">Notch–proneural</w:t>
      </w:r>
      <w:r>
        <w:t xml:space="preserve"> </w:t>
      </w:r>
      <w:r>
        <w:t xml:space="preserve">dynamics</w:t>
      </w:r>
      <w:r>
        <w:t xml:space="preserve"> </w:t>
      </w:r>
      <w:r>
        <w:t xml:space="preserve">set</w:t>
      </w:r>
      <w:r>
        <w:t xml:space="preserve"> </w:t>
      </w:r>
      <w:r>
        <w:t xml:space="preserve">the</w:t>
      </w:r>
      <w:r>
        <w:t xml:space="preserve"> </w:t>
      </w:r>
      <w:r>
        <w:t xml:space="preserve">tempo,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onset,</w:t>
      </w:r>
      <w:r>
        <w:t xml:space="preserve"> </w:t>
      </w:r>
      <w:r>
        <w:t xml:space="preserve">of</w:t>
      </w:r>
      <w:r>
        <w:t xml:space="preserve"> </w:t>
      </w:r>
      <w:r>
        <w:t xml:space="preserve">lateral-inhibition</w:t>
      </w:r>
      <w:r>
        <w:t xml:space="preserve"> </w:t>
      </w:r>
      <w:r>
        <w:t xml:space="preserve">patterning)</w:t>
      </w:r>
    </w:p>
    <w:p>
      <w:pPr>
        <w:pStyle w:val="Author"/>
      </w:pPr>
      <w:r>
        <w:t xml:space="preserve">Hyeonje</w:t>
      </w:r>
      <w:r>
        <w:t xml:space="preserve"> </w:t>
      </w:r>
      <w:r>
        <w:t xml:space="preserve">Yang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I thank both referees for careful and specific reports. Each comment below is summarised in</w:t>
      </w:r>
      <w:r>
        <w:t xml:space="preserve"> </w:t>
      </w:r>
      <w:r>
        <w:t xml:space="preserve">italics and followed by my response and the corresponding changes. Section, figure and</w:t>
      </w:r>
      <w:r>
        <w:t xml:space="preserve"> </w:t>
      </w:r>
      <w:r>
        <w:t xml:space="preserve">equation numbers refer to the revised manuscript unless marked</w:t>
      </w:r>
      <w:r>
        <w:t xml:space="preserve"> </w:t>
      </w:r>
      <w:r>
        <w:t xml:space="preserve">“</w:t>
      </w:r>
      <w:r>
        <w:t xml:space="preserve">v1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Three things changed throughout: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Scope and claims.</w:t>
      </w:r>
      <w:r>
        <w:t xml:space="preserve"> </w:t>
      </w:r>
      <w:r>
        <w:t xml:space="preserve">The paper is reorganised around one question: which predictions require</w:t>
      </w:r>
      <w:r>
        <w:t xml:space="preserve"> </w:t>
      </w:r>
      <w:r>
        <w:t xml:space="preserve">the explicit activated-Notch and proneural dynamics, and which follow from static responses</w:t>
      </w:r>
      <w:r>
        <w:t xml:space="preserve"> </w:t>
      </w:r>
      <w:r>
        <w:t xml:space="preserve">alone? The Schur/static-gain identity is now presented as a standard tool, not a contribution.</w:t>
      </w:r>
      <w:r>
        <w:t xml:space="preserve"> </w:t>
      </w:r>
      <w:r>
        <w:t xml:space="preserve">Material both referees regarded as known or unnecessary has been removed: the nonlinear</w:t>
      </w:r>
      <w:r>
        <w:t xml:space="preserve"> </w:t>
      </w:r>
      <w:r>
        <w:t xml:space="preserve">saturation statistics, the</w:t>
      </w:r>
      <w:r>
        <w:t xml:space="preserve"> </w:t>
      </w:r>
      <w:r>
        <w:t xml:space="preserve">“</w:t>
      </w:r>
      <w:r>
        <w:t xml:space="preserve">global rather than centred</w:t>
      </w:r>
      <w:r>
        <w:t xml:space="preserve">”</w:t>
      </w:r>
      <w:r>
        <w:t xml:space="preserve"> </w:t>
      </w:r>
      <w:r>
        <w:t xml:space="preserve">discussion (v1 §3.3), and the</w:t>
      </w:r>
      <w:r>
        <w:t xml:space="preserve"> </w:t>
      </w:r>
      <w:r>
        <w:t xml:space="preserve">stochastic check (v1 §3.4).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Numerics.</w:t>
      </w:r>
      <w:r>
        <w:t xml:space="preserve"> </w:t>
      </w:r>
      <w:r>
        <w:t xml:space="preserve">Every statistic was recomputed with a corrected steady-state solver and an</w:t>
      </w:r>
      <w:r>
        <w:t xml:space="preserve"> </w:t>
      </w:r>
      <w:r>
        <w:t xml:space="preserve">exact-eigenvector initial state.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Reproducibility.</w:t>
      </w:r>
      <w:r>
        <w:t xml:space="preserve"> </w:t>
      </w:r>
      <w:r>
        <w:t xml:space="preserve">Every number has a generating script in the public repository. A test</w:t>
      </w:r>
      <w:r>
        <w:t xml:space="preserve"> </w:t>
      </w:r>
      <w:r>
        <w:t xml:space="preserve">suite (341 checks) verifies each analytic statement on random parameter sets. The v1 code and</w:t>
      </w:r>
      <w:r>
        <w:t xml:space="preserve"> </w:t>
      </w:r>
      <w:r>
        <w:t xml:space="preserve">data are preserved unchanged in an archive folder of the repository.</w:t>
      </w:r>
    </w:p>
    <w:bookmarkStart w:id="20" w:name="referee-1"/>
    <w:p>
      <w:pPr>
        <w:pStyle w:val="Heading1"/>
      </w:pPr>
      <w:r>
        <w:t xml:space="preserve">Referee 1</w:t>
      </w:r>
    </w:p>
    <w:p>
      <w:pPr>
        <w:pStyle w:val="FirstParagraph"/>
      </w:pPr>
      <w:r>
        <w:rPr>
          <w:bCs/>
          <w:b/>
        </w:rPr>
        <w:t xml:space="preserve">1.1</w:t>
      </w:r>
      <w:r>
        <w:t xml:space="preserve"> </w:t>
      </w:r>
      <w:r>
        <w:rPr>
          <w:iCs/>
          <w:i/>
        </w:rPr>
        <w:t xml:space="preserve">Steady-state failures distort the global statistics: 733 of 4000 samples were labelled</w:t>
      </w:r>
      <w:r>
        <w:rPr>
          <w:iCs/>
          <w:i/>
        </w:rPr>
        <w:t xml:space="preserve"> </w:t>
      </w:r>
      <w:r>
        <w:rPr>
          <w:iCs/>
          <w:i/>
        </w:rPr>
        <w:t xml:space="preserve">as having no positive fixed point, although the homogeneous equilibrium exists uniquely and can</w:t>
      </w:r>
      <w:r>
        <w:rPr>
          <w:iCs/>
          <w:i/>
        </w:rPr>
        <w:t xml:space="preserve"> </w:t>
      </w:r>
      <w:r>
        <w:rPr>
          <w:iCs/>
          <w:i/>
        </w:rPr>
        <w:t xml:space="preserve">be found by scalar bracketing. Recalculation gives 36.325% instead of 30.3%. Solver failure must</w:t>
      </w:r>
      <w:r>
        <w:rPr>
          <w:iCs/>
          <w:i/>
        </w:rPr>
        <w:t xml:space="preserve"> </w:t>
      </w:r>
      <w:r>
        <w:rPr>
          <w:iCs/>
          <w:i/>
        </w:rPr>
        <w:t xml:space="preserve">be distinguished from nonexistence.</w:t>
      </w:r>
    </w:p>
    <w:p>
      <w:pPr>
        <w:pStyle w:val="BodyText"/>
      </w:pPr>
      <w:r>
        <w:t xml:space="preserve">I agree on all points. The homogeneous steady state reduces to a scalar equation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(Eq. 3).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decreasing,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 so for every</w:t>
      </w:r>
      <w:r>
        <w:t xml:space="preserve"> </w:t>
      </w:r>
      <w:r>
        <w:t xml:space="preserve">positive parameter set the steady state exists, is unique, and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(§2.3, Supplementary Note 1). It is now computed by Brent bracketing.</w:t>
      </w:r>
    </w:p>
    <w:p>
      <w:pPr>
        <w:numPr>
          <w:ilvl w:val="0"/>
          <w:numId w:val="1002"/>
        </w:numPr>
        <w:pStyle w:val="Compact"/>
      </w:pPr>
      <w:r>
        <w:t xml:space="preserve">All 733 v1</w:t>
      </w:r>
      <w:r>
        <w:t xml:space="preserve"> </w:t>
      </w:r>
      <w:r>
        <w:t xml:space="preserve">“</w:t>
      </w:r>
      <w:r>
        <w:t xml:space="preserve">no fixed point</w:t>
      </w:r>
      <w:r>
        <w:t xml:space="preserve">”</w:t>
      </w:r>
      <w:r>
        <w:t xml:space="preserve"> </w:t>
      </w:r>
      <w:r>
        <w:t xml:space="preserve">samples have a steady state, with residual below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nonuniform-instability fraction is</w:t>
      </w:r>
      <w:r>
        <w:t xml:space="preserve"> </w:t>
      </w:r>
      <w:r>
        <w:rPr>
          <w:bCs/>
          <w:b/>
        </w:rPr>
        <w:t xml:space="preserve">1453/4000 = 36.325%</w:t>
      </w:r>
      <w:r>
        <w:t xml:space="preserve">, which reproduces the</w:t>
      </w:r>
      <w:r>
        <w:t xml:space="preserve"> </w:t>
      </w:r>
      <w:r>
        <w:t xml:space="preserve">referee’s value (§3.2).</w:t>
      </w:r>
    </w:p>
    <w:p>
      <w:pPr>
        <w:numPr>
          <w:ilvl w:val="0"/>
          <w:numId w:val="1002"/>
        </w:numPr>
        <w:pStyle w:val="Compact"/>
      </w:pPr>
      <w:r>
        <w:t xml:space="preserve">The two-parameter maps (v1 Fig. 2C) had 115 missing grid points from the same cause. They</w:t>
      </w:r>
      <w:r>
        <w:t xml:space="preserve"> </w:t>
      </w:r>
      <w:r>
        <w:t xml:space="preserve">have been recomputed (Fig. 3C,D).</w:t>
      </w:r>
    </w:p>
    <w:p>
      <w:pPr>
        <w:numPr>
          <w:ilvl w:val="0"/>
          <w:numId w:val="1002"/>
        </w:numPr>
        <w:pStyle w:val="Compact"/>
      </w:pPr>
      <w:r>
        <w:t xml:space="preserve">Every derived statistic (classification counts, gain-criterion accuracy, dominant-mode</w:t>
      </w:r>
      <w:r>
        <w:t xml:space="preserve"> </w:t>
      </w:r>
      <w:r>
        <w:t xml:space="preserve">counts) has been recomputed.</w:t>
      </w:r>
    </w:p>
    <w:p>
      <w:pPr>
        <w:numPr>
          <w:ilvl w:val="0"/>
          <w:numId w:val="1002"/>
        </w:numPr>
        <w:pStyle w:val="Compact"/>
      </w:pPr>
      <w:r>
        <w:t xml:space="preserve">A test now checks all 733 previously failed samples.</w:t>
      </w:r>
    </w:p>
    <w:p>
      <w:pPr>
        <w:numPr>
          <w:ilvl w:val="0"/>
          <w:numId w:val="1002"/>
        </w:numPr>
        <w:pStyle w:val="Compact"/>
      </w:pPr>
      <w:r>
        <w:t xml:space="preserve">The v1 statement</w:t>
      </w:r>
      <w:r>
        <w:t xml:space="preserve"> </w:t>
      </w:r>
      <w:r>
        <w:t xml:space="preserve">“</w:t>
      </w:r>
      <w:r>
        <w:t xml:space="preserve">multistable branches found: 0</w:t>
      </w:r>
      <w:r>
        <w:t xml:space="preserve">”</w:t>
      </w:r>
      <w:r>
        <w:t xml:space="preserve"> </w:t>
      </w:r>
      <w:r>
        <w:t xml:space="preserve">is replaced by the uniqueness proof.</w:t>
      </w:r>
    </w:p>
    <w:p>
      <w:pPr>
        <w:pStyle w:val="FirstParagraph"/>
      </w:pPr>
      <w:r>
        <w:rPr>
          <w:bCs/>
          <w:b/>
        </w:rPr>
        <w:t xml:space="preserve">1.2</w:t>
      </w:r>
      <w:r>
        <w:t xml:space="preserve"> </w:t>
      </w:r>
      <w:r>
        <w:rPr>
          <w:iCs/>
          <w:i/>
        </w:rPr>
        <w:t xml:space="preserve">The explanation of the DC-gain misclassifications is incorrect. All seven originally</w:t>
      </w:r>
      <w:r>
        <w:rPr>
          <w:iCs/>
          <w:i/>
        </w:rPr>
        <w:t xml:space="preserve"> </w:t>
      </w:r>
      <w:r>
        <w:rPr>
          <w:iCs/>
          <w:i/>
        </w:rPr>
        <w:t xml:space="preserve">reported mismatches have dominant mode</w:t>
      </w:r>
      <w:r>
        <w:rPr>
          <w:iCs/>
          <w:i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iCs/>
          <w:i/>
        </w:rPr>
        <w:t xml:space="preserve">; e.g. sample 1730 has gain ≈0.366 but unstable</w:t>
      </w:r>
      <w:r>
        <w:rPr>
          <w:iCs/>
          <w:i/>
        </w:rPr>
        <w:t xml:space="preserve"> </w:t>
      </w:r>
      <w:r>
        <w:rPr>
          <w:iCs/>
          <w:i/>
        </w:rPr>
        <w:t xml:space="preserve">eigenvalues ≈0.159±0.262i. The failures should be explained within the tested mode, without</w:t>
      </w:r>
      <w:r>
        <w:rPr>
          <w:iCs/>
          <w:i/>
        </w:rPr>
        <w:t xml:space="preserve"> </w:t>
      </w:r>
      <w:r>
        <w:rPr>
          <w:iCs/>
          <w:i/>
        </w:rPr>
        <w:t xml:space="preserve">conflating the stationary zero-eigenvalue condition with general stability.</w:t>
      </w:r>
    </w:p>
    <w:p>
      <w:pPr>
        <w:pStyle w:val="BodyText"/>
      </w:pPr>
      <w:r>
        <w:t xml:space="preserve">The referee is right, and the v1 explanation (</w:t>
      </w:r>
      <w:r>
        <w:t xml:space="preserve">“</w:t>
      </w:r>
      <w:r>
        <w:t xml:space="preserve">another mode can dominate</w:t>
      </w:r>
      <w:r>
        <w:t xml:space="preserve">”</w:t>
      </w:r>
      <w:r>
        <w:t xml:space="preserve">) was wrong. The</w:t>
      </w:r>
      <w:r>
        <w:t xml:space="preserve"> </w:t>
      </w:r>
      <w:r>
        <w:t xml:space="preserve">revised §3.1 and §3.3 explain the mismatches within the tested mode: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plant is Hurwitz.</w:t>
      </w:r>
      <w:r>
        <w:t xml:space="preserve"> </w:t>
      </w:r>
      <w:r>
        <w:t xml:space="preserve">For every positive parameter set and every graph eigenvalue, the</w:t>
      </w:r>
      <w:r>
        <w:t xml:space="preserve"> </w:t>
      </w:r>
      <w:r>
        <w:t xml:space="preserve">plant matrix</w:t>
      </w:r>
      <w:r>
        <w:t xml:space="preserve"> </w:t>
      </w:r>
      <m:oMath>
        <m:sSub>
          <m:e>
            <m:r>
              <m:t>A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is Hurwitz (§3.1(i), proved). Hence</w:t>
      </w:r>
      <w:r>
        <w:t xml:space="preserve"> </w:t>
      </w:r>
      <m:oMath>
        <m:r>
          <m:rPr>
            <m:nor/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μ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and by</w:t>
      </w:r>
      <w:r>
        <w:t xml:space="preserve"> </w:t>
      </w:r>
      <w:r>
        <w:t xml:space="preserve">Eq. 5</w:t>
      </w:r>
      <w:r>
        <w:t xml:space="preserve"> </w:t>
      </w:r>
      <m:oMath>
        <m:r>
          <m:rPr>
            <m:nor/>
            <m:sty m:val="p"/>
          </m:rPr>
          <m:t>sign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sign</m:t>
        </m:r>
        <m:r>
          <m:rPr>
            <m:nor/>
            <m:sty m:val="p"/>
          </m:rPr>
          <m:t>det</m:t>
        </m:r>
        <m:sSub>
          <m:e>
            <m:r>
              <m:t>J</m:t>
            </m:r>
          </m:e>
          <m:sub>
            <m:r>
              <m:t>μ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m:oMath>
        <m:r>
          <m:t>G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counts.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at a zero eigenvalue,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there is an odd number of positive real eigenvalues.</w:t>
      </w:r>
      <w:r>
        <w:t xml:space="preserve"> </w:t>
      </w:r>
      <m:oMath>
        <m:r>
          <m:t>G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is explicitly stated not to be a</w:t>
      </w:r>
      <w:r>
        <w:t xml:space="preserve"> </w:t>
      </w:r>
      <w:r>
        <w:t xml:space="preserve">stability certificate.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mismatches.</w:t>
      </w:r>
      <w:r>
        <w:t xml:space="preserve"> </w:t>
      </w:r>
      <w:r>
        <w:t xml:space="preserve">With the corrected sample there are 12, including the 7 of v1. All have</w:t>
      </w:r>
      <w:r>
        <w:t xml:space="preserve"> </w:t>
      </w:r>
      <w:r>
        <w:t xml:space="preserve">dominant mode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 Each has</w:t>
      </w:r>
      <w:r>
        <w:t xml:space="preserve"> </w:t>
      </w:r>
      <w:r>
        <w:rPr>
          <w:bCs/>
          <w:b/>
        </w:rPr>
        <w:t xml:space="preserve">exactly two</w:t>
      </w:r>
      <w:r>
        <w:t xml:space="preserve"> </w:t>
      </w:r>
      <w:r>
        <w:t xml:space="preserve">right-half-plane eigenvalues in the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block: a complex pair at 6 points (including 1730: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0.366</m:t>
        </m:r>
      </m:oMath>
      <w:r>
        <w:t xml:space="preserve">,</w:t>
      </w:r>
      <w:r>
        <w:t xml:space="preserve"> </w:t>
      </w:r>
      <m:oMath>
        <m:r>
          <m:t>0.159</m:t>
        </m:r>
        <m:r>
          <m:rPr>
            <m:sty m:val="p"/>
          </m:rPr>
          <m:t>±</m:t>
        </m:r>
        <m:r>
          <m:t>0.262</m:t>
        </m:r>
        <m:r>
          <m:t>i</m:t>
        </m:r>
      </m:oMath>
      <w:r>
        <w:t xml:space="preserve">) and two real eigenvalues at the other 6. An even count leaves</w:t>
      </w:r>
      <w:r>
        <w:t xml:space="preserve"> </w:t>
      </w:r>
      <m:oMath>
        <m:r>
          <m:rPr>
            <m:nor/>
            <m:sty m:val="p"/>
          </m:rPr>
          <m:t>det</m:t>
        </m:r>
        <m:sSub>
          <m:e>
            <m:r>
              <m:t>J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so these instabilities are invisible at zero frequency.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Complete test.</w:t>
      </w:r>
      <w:r>
        <w:t xml:space="preserve"> </w:t>
      </w:r>
      <w:r>
        <w:t xml:space="preserve">The complete per-mode test is the Nyquist criterion, which is valid here</w:t>
      </w:r>
      <w:r>
        <w:t xml:space="preserve"> </w:t>
      </w:r>
      <w:r>
        <w:t xml:space="preserve">because the open loop has no unstable poles. For sample 1730,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(</m:t>
        </m:r>
        <m:r>
          <m:t>i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crosses the</w:t>
      </w:r>
      <w:r>
        <w:t xml:space="preserve"> </w:t>
      </w:r>
      <w:r>
        <w:t xml:space="preserve">real axis at 1.56 when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0.36</m:t>
        </m:r>
      </m:oMath>
      <w:r>
        <w:t xml:space="preserve">, and the curve encircles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twice (Fig. 4B).</w:t>
      </w:r>
      <w:r>
        <w:t xml:space="preserve"> </w:t>
      </w:r>
      <w:r>
        <w:t xml:space="preserve">Encirclement counts equal the eigenvalue counts at all 4000 samples.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Text changes.</w:t>
      </w:r>
      <w:r>
        <w:t xml:space="preserve"> </w:t>
      </w:r>
      <w:r>
        <w:t xml:space="preserve">The v1 limitation sentence attributing the mismatches to another mode has</w:t>
      </w:r>
      <w:r>
        <w:t xml:space="preserve"> </w:t>
      </w:r>
      <w:r>
        <w:t xml:space="preserve">been deleted. The stationary condition and general stability are now kept separate.</w:t>
      </w:r>
    </w:p>
    <w:p>
      <w:pPr>
        <w:pStyle w:val="FirstParagraph"/>
      </w:pPr>
      <w:r>
        <w:rPr>
          <w:bCs/>
          <w:b/>
        </w:rPr>
        <w:t xml:space="preserve">1.3</w:t>
      </w:r>
      <w:r>
        <w:t xml:space="preserve"> </w:t>
      </w:r>
      <w:r>
        <w:rPr>
          <w:iCs/>
          <w:i/>
        </w:rPr>
        <w:t xml:space="preserve">Componentwise scaling by equilibrium concentrations changes the eigenvector and</w:t>
      </w:r>
      <w:r>
        <w:rPr>
          <w:iCs/>
          <w:i/>
        </w:rPr>
        <w:t xml:space="preserve"> </w:t>
      </w:r>
      <w:r>
        <w:rPr>
          <w:iCs/>
          <w:i/>
        </w:rPr>
        <w:t xml:space="preserve">introduces mixed-mode transients. The late-window slope does match, but the initialization</w:t>
      </w:r>
      <w:r>
        <w:rPr>
          <w:iCs/>
          <w:i/>
        </w:rPr>
        <w:t xml:space="preserve"> </w:t>
      </w:r>
      <w:r>
        <w:rPr>
          <w:iCs/>
          <w:i/>
        </w:rPr>
        <w:t xml:space="preserve">should be corrected or justified and the actual validation window displayed.</w:t>
      </w:r>
    </w:p>
    <w:p>
      <w:pPr>
        <w:pStyle w:val="BodyText"/>
      </w:pPr>
      <w:r>
        <w:t xml:space="preserve">Corrected. Each simulation now starts 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ε</m:t>
        </m:r>
        <m:r>
          <m:t>v</m:t>
        </m:r>
        <m:r>
          <m:rPr>
            <m:nor/>
            <m:sty m:val="p"/>
          </m:rPr>
          <m:t>cos</m:t>
        </m:r>
        <m:r>
          <m:t>ϕ</m:t>
        </m:r>
      </m:oMath>
      <w:r>
        <w:t xml:space="preserve">, where the whole</w:t>
      </w:r>
      <w:r>
        <w:t xml:space="preserve"> </w:t>
      </w:r>
      <w:r>
        <w:t xml:space="preserve">eigenvector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multiplied by a single scalar (Methods). The fitting window was fixed in</w:t>
      </w:r>
      <w:r>
        <w:t xml:space="preserve"> </w:t>
      </w:r>
      <w:r>
        <w:t xml:space="preserve">advance: from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until the three-sublattice amplitude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reaches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It is</w:t>
      </w:r>
      <w:r>
        <w:t xml:space="preserve"> </w:t>
      </w:r>
      <w:r>
        <w:t xml:space="preserve">drawn in Fig. 5C. With the corrected start: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p>
            <w:pPr>
              <w:pStyle w:val="Compact"/>
              <w:jc w:val="left"/>
            </w:pPr>
            <w:r>
              <w:t xml:space="preserve">predicted</w:t>
            </w:r>
          </w:p>
        </w:tc>
        <w:tc>
          <w:p>
            <w:pPr>
              <w:pStyle w:val="Compact"/>
              <w:jc w:val="left"/>
            </w:pPr>
            <w:r>
              <w:t xml:space="preserve">fitted</w:t>
            </w:r>
          </w:p>
        </w:tc>
        <w:tc>
          <w:p>
            <w:pPr>
              <w:pStyle w:val="Compact"/>
              <w:jc w:val="left"/>
            </w:pPr>
            <w:r>
              <w:t xml:space="preserve">window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0.103067</w:t>
            </w:r>
          </w:p>
        </w:tc>
        <w:tc>
          <w:p>
            <w:pPr>
              <w:pStyle w:val="Compact"/>
              <w:jc w:val="left"/>
            </w:pPr>
            <w:r>
              <w:t xml:space="preserve">0.103077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67.25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0.216300</w:t>
            </w:r>
          </w:p>
        </w:tc>
        <w:tc>
          <w:p>
            <w:pPr>
              <w:pStyle w:val="Compact"/>
              <w:jc w:val="left"/>
            </w:pPr>
            <w:r>
              <w:t xml:space="preserve">0.216305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32</m:t>
              </m:r>
              <m:r>
                <m:rPr>
                  <m:sty m:val="p"/>
                </m:rPr>
                <m:t>]</m:t>
              </m:r>
            </m:oMath>
          </w:p>
        </w:tc>
      </w:tr>
    </w:tbl>
    <w:p>
      <w:pPr>
        <w:pStyle w:val="BodyText"/>
      </w:pPr>
      <w:r>
        <w:t xml:space="preserve">The growth is exponential from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with no transient. Fig. S1 shows the v1 start for</w:t>
      </w:r>
      <w:r>
        <w:t xml:space="preserve"> </w:t>
      </w:r>
      <w:r>
        <w:t xml:space="preserve">comparison. It gives early slopes of 0.443 (P2) and 0.568 (P3), the mixed-mode transient the</w:t>
      </w:r>
      <w:r>
        <w:t xml:space="preserve"> </w:t>
      </w:r>
      <w:r>
        <w:t xml:space="preserve">referee identified. At P2 it also produces a long intermediate plateau before the final pattern</w:t>
      </w:r>
      <w:r>
        <w:t xml:space="preserve"> </w:t>
      </w:r>
      <w:r>
        <w:t xml:space="preserve">is reached. The v1 phrases</w:t>
      </w:r>
      <w:r>
        <w:t xml:space="preserve"> </w:t>
      </w:r>
      <w:r>
        <w:t xml:space="preserve">“</w:t>
      </w:r>
      <w:r>
        <w:t xml:space="preserve">frozen validation window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the earliest fit contains initial</w:t>
      </w:r>
      <w:r>
        <w:t xml:space="preserve"> </w:t>
      </w:r>
      <w:r>
        <w:t xml:space="preserve">transient contamination</w:t>
      </w:r>
      <w:r>
        <w:t xml:space="preserve">”</w:t>
      </w:r>
      <w:r>
        <w:t xml:space="preserve"> </w:t>
      </w:r>
      <w:r>
        <w:t xml:space="preserve">are removed.</w:t>
      </w:r>
    </w:p>
    <w:p>
      <w:pPr>
        <w:pStyle w:val="BodyText"/>
      </w:pPr>
      <w:r>
        <w:rPr>
          <w:bCs/>
          <w:b/>
        </w:rPr>
        <w:t xml:space="preserve">1.4</w:t>
      </w:r>
      <w:r>
        <w:t xml:space="preserve"> </w:t>
      </w:r>
      <w:r>
        <w:rPr>
          <w:iCs/>
          <w:i/>
        </w:rPr>
        <w:t xml:space="preserve">The unit-DC-gain/zero-eigenvalue equivalence follows from the Schur-complement identity</w:t>
      </w:r>
      <w:r>
        <w:rPr>
          <w:iCs/>
          <w:i/>
        </w:rPr>
        <w:t xml:space="preserve"> </w:t>
      </w:r>
      <w:r>
        <w:rPr>
          <w:iCs/>
          <w:i/>
        </w:rPr>
        <w:t xml:space="preserve">under the relevant nonsingularity conditions; numerical agreement verifies consistency but does</w:t>
      </w:r>
      <w:r>
        <w:rPr>
          <w:iCs/>
          <w:i/>
        </w:rPr>
        <w:t xml:space="preserve"> </w:t>
      </w:r>
      <w:r>
        <w:rPr>
          <w:iCs/>
          <w:i/>
        </w:rPr>
        <w:t xml:space="preserve">not establish novelty. A substantive comparison with graph-based approaches and a matched</w:t>
      </w:r>
      <w:r>
        <w:rPr>
          <w:iCs/>
          <w:i/>
        </w:rPr>
        <w:t xml:space="preserve"> </w:t>
      </w:r>
      <w:r>
        <w:rPr>
          <w:iCs/>
          <w:i/>
        </w:rPr>
        <w:t xml:space="preserve">reduced model is needed to identify predictions that specifically require the explicit</w:t>
      </w:r>
      <w:r>
        <w:rPr>
          <w:iCs/>
          <w:i/>
        </w:rPr>
        <w:t xml:space="preserve"> </w:t>
      </w:r>
      <w:r>
        <w:rPr>
          <w:iCs/>
          <w:i/>
        </w:rPr>
        <w:t xml:space="preserve">downstream dynamics.</w:t>
      </w:r>
    </w:p>
    <w:p>
      <w:pPr>
        <w:pStyle w:val="BodyText"/>
      </w:pPr>
      <w:r>
        <w:t xml:space="preserve">I agree. The identity is now presented as standard (§1, §3.1, §4). It is related explicitly to</w:t>
      </w:r>
      <w:r>
        <w:t xml:space="preserve"> </w:t>
      </w:r>
      <w:r>
        <w:t xml:space="preserve">graph-based static-gain criteria [11, 12] through</w:t>
      </w:r>
      <w:r>
        <w:t xml:space="preserve"> </w:t>
      </w:r>
      <m:oMath>
        <m:r>
          <m:rPr>
            <m:nor/>
            <m:sty m:val="p"/>
          </m:rPr>
          <m:t>det</m:t>
        </m:r>
        <m:sSub>
          <m:e>
            <m:r>
              <m:t>J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det</m:t>
        </m:r>
        <m:sSub>
          <m:e>
            <m:r>
              <m:t>J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b>
        </m:sSub>
        <m:r>
          <m:rPr>
            <m:nor/>
            <m:sty m:val="p"/>
          </m:rPr>
          <m:t>det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μ</m:t>
        </m:r>
        <m:r>
          <m:t>K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static input–output gain of an</w:t>
      </w:r>
      <w:r>
        <w:t xml:space="preserve"> </w:t>
      </w:r>
      <w:r>
        <w:t xml:space="preserve">isolated cell (Methods; verified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). The revision adds the two comparisons</w:t>
      </w:r>
      <w:r>
        <w:t xml:space="preserve"> </w:t>
      </w:r>
      <w:r>
        <w:t xml:space="preserve">requested (§3.4, Fig. 5, Table 2).</w:t>
      </w:r>
    </w:p>
    <w:p>
      <w:pPr>
        <w:pStyle w:val="BodyText"/>
      </w:pPr>
      <w:r>
        <w:rPr>
          <w:iCs/>
          <w:i/>
        </w:rPr>
        <w:t xml:space="preserve">Matched reduced models.</w:t>
      </w:r>
      <w:r>
        <w:t xml:space="preserve"> </w:t>
      </w:r>
      <w:r>
        <w:t xml:space="preserve">Proneural activity, or both activated Notch and proneural activity,</w:t>
      </w:r>
      <w:r>
        <w:t xml:space="preserve"> </w:t>
      </w:r>
      <w:r>
        <w:t xml:space="preserve">are slaved by quasi-steady-state elimination (DNA and DN reductions). The DNA reduction is a</w:t>
      </w:r>
      <w:r>
        <w:t xml:space="preserve"> </w:t>
      </w:r>
      <w:r>
        <w:t xml:space="preserve">Sprinzak-type three-component Notch–Delta–reporter model. Both reductions have exactly the</w:t>
      </w:r>
      <w:r>
        <w:t xml:space="preserve"> </w:t>
      </w:r>
      <w:r>
        <w:t xml:space="preserve">same steady states, homogeneous and patterned, and their Jacobians are Schur complements of</w:t>
      </w:r>
      <w:r>
        <w:t xml:space="preserve"> </w:t>
      </w:r>
      <m:oMath>
        <m:sSub>
          <m:e>
            <m:r>
              <m:t>J</m:t>
            </m:r>
          </m:e>
          <m:sub>
            <m:r>
              <m:t>μ</m:t>
            </m:r>
          </m:sub>
        </m:sSub>
      </m:oMath>
      <w:r>
        <w:t xml:space="preserve">. They therefore share the stationary boundary, the critical</w:t>
      </w:r>
      <w: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</m:oMath>
      <w:r>
        <w:t xml:space="preserve">, and the</w:t>
      </w:r>
      <w:r>
        <w:t xml:space="preserve"> </w:t>
      </w:r>
      <w:r>
        <w:t xml:space="preserve">selected mode exactly. These predictions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require the explicit dynamics, and the</w:t>
      </w:r>
      <w:r>
        <w:t xml:space="preserve"> </w:t>
      </w:r>
      <w:r>
        <w:t xml:space="preserve">manuscript now says so.</w:t>
      </w:r>
    </w:p>
    <w:p>
      <w:pPr>
        <w:pStyle w:val="BodyText"/>
      </w:pPr>
      <w:r>
        <w:rPr>
          <w:iCs/>
          <w:i/>
        </w:rPr>
        <w:t xml:space="preserve">Predictions that do require the explicit dynamics: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Growth rate.</w:t>
      </w:r>
      <w:r>
        <w:t xml:space="preserve"> </w:t>
      </w:r>
      <w:r>
        <w:t xml:space="preserve">Along a proneural-timescale family that leaves every steady state and every</w:t>
      </w:r>
      <w:r>
        <w:t xml:space="preserve"> </w:t>
      </w:r>
      <w:r>
        <w:t xml:space="preserve">static gain fixed,</w:t>
      </w:r>
      <w:r>
        <w:t xml:space="preserve"> </w:t>
      </w:r>
      <m:oMath>
        <m:sSubSup>
          <m:e>
            <m:r>
              <m:t>λ</m:t>
            </m:r>
          </m:e>
          <m:sub>
            <m:r>
              <m:t>N</m:t>
            </m:r>
          </m:sub>
          <m:sup>
            <m:r>
              <m:t>c</m:t>
            </m:r>
          </m:sup>
        </m:sSubSup>
        <m:r>
          <m:rPr>
            <m:sty m:val="p"/>
          </m:rPr>
          <m:t>=</m:t>
        </m:r>
        <m:r>
          <m:t>1.304815343</m:t>
        </m:r>
      </m:oMath>
      <w:r>
        <w:t xml:space="preserve"> </w:t>
      </w:r>
      <w:r>
        <w:t xml:space="preserve">is unchanged for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]</m:t>
        </m:r>
      </m:oMath>
      <w:r>
        <w:t xml:space="preserve">. The</w:t>
      </w:r>
      <w:r>
        <w:t xml:space="preserve"> </w:t>
      </w:r>
      <w:r>
        <w:t xml:space="preserve">P2 growth rate varies from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to 1.59. When proneural turnover is slow, the rate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≈</m:t>
        </m:r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[</m:t>
        </m:r>
        <m:r>
          <m:t>G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. Over the global sample, the matched DNA reduction overestimates the</w:t>
      </w:r>
      <w:r>
        <w:t xml:space="preserve"> </w:t>
      </w:r>
      <w:r>
        <w:t xml:space="preserve">growth rate at every unstable point (median 4.9-fold; 15.5-fold at P2). Nonlinear</w:t>
      </w:r>
      <w:r>
        <w:t xml:space="preserve"> </w:t>
      </w:r>
      <w:r>
        <w:t xml:space="preserve">simulations confirm this (pattern at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111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rPr>
            <m:sty m:val="p"/>
          </m:rPr>
          <m:t>≈</m:t>
        </m:r>
        <m:r>
          <m:t>7</m:t>
        </m:r>
      </m:oMath>
      <w:r>
        <w:t xml:space="preserve">), and both models reach</w:t>
      </w:r>
      <w:r>
        <w:t xml:space="preserve"> </w:t>
      </w:r>
      <w:r>
        <w:t xml:space="preserve">the same final pattern, to within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Non-stationary instabilities.</w:t>
      </w:r>
      <w:r>
        <w:t xml:space="preserve"> </w:t>
      </w:r>
      <w:r>
        <w:t xml:space="preserve">The DNA reduction predicts 26 instabilities where the</w:t>
      </w:r>
      <w:r>
        <w:t xml:space="preserve"> </w:t>
      </w:r>
      <w:r>
        <w:t xml:space="preserve">explicit model is stable (DN reduction: 47), all with</w:t>
      </w:r>
      <w:r>
        <w:t xml:space="preserve"> </w:t>
      </w:r>
      <m:oMath>
        <m:r>
          <m:t>G</m:t>
        </m:r>
        <m:r>
          <m:rPr>
            <m:sty m:val="p"/>
          </m:rPr>
          <m:t>&lt;</m:t>
        </m:r>
        <m:r>
          <m:t>1</m:t>
        </m:r>
      </m:oMath>
      <w:r>
        <w:t xml:space="preserve">. In the other direction, the</w:t>
      </w:r>
      <w:r>
        <w:t xml:space="preserve"> </w:t>
      </w:r>
      <w:r>
        <w:t xml:space="preserve">static criterion misses the 12 two-eigenvalue instabilities of point 1.2.</w:t>
      </w:r>
    </w:p>
    <w:p>
      <w:pPr>
        <w:pStyle w:val="FirstParagraph"/>
      </w:pPr>
      <w:r>
        <w:t xml:space="preserve">A further analytic result has been added (§3.1(iii)): the static gain is maximised at the most</w:t>
      </w:r>
      <w:r>
        <w:t xml:space="preserve"> </w:t>
      </w:r>
      <w:r>
        <w:t xml:space="preserve">negative graph eigenvalue for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positive parameters, despite the two-channel trans</w:t>
      </w:r>
      <w:r>
        <w:t xml:space="preserve"> </w:t>
      </w:r>
      <w:r>
        <w:t xml:space="preserve">coupling and cis inactivation. The stationarily selected mode is therefore the three-sublattice</w:t>
      </w:r>
      <w:r>
        <w:t xml:space="preserve"> </w:t>
      </w:r>
      <w:r>
        <w:t xml:space="preserve">mode everywhere. This also answers Referee 2’s point 2.3.</w:t>
      </w:r>
    </w:p>
    <w:bookmarkEnd w:id="20"/>
    <w:bookmarkStart w:id="21" w:name="referee-2"/>
    <w:p>
      <w:pPr>
        <w:pStyle w:val="Heading1"/>
      </w:pPr>
      <w:r>
        <w:t xml:space="preserve">Referee 2</w:t>
      </w:r>
    </w:p>
    <w:p>
      <w:pPr>
        <w:pStyle w:val="FirstParagraph"/>
      </w:pPr>
      <w:r>
        <w:rPr>
          <w:bCs/>
          <w:b/>
        </w:rPr>
        <w:t xml:space="preserve">2.1</w:t>
      </w:r>
      <w:r>
        <w:t xml:space="preserve"> </w:t>
      </w:r>
      <w:r>
        <w:rPr>
          <w:iCs/>
          <w:i/>
        </w:rPr>
        <w:t xml:space="preserve">Variables are used before being defined (e.g. in the abstract and on p. 1, l. 57, not</w:t>
      </w:r>
      <w:r>
        <w:rPr>
          <w:iCs/>
          <w:i/>
        </w:rPr>
        <w:t xml:space="preserve"> </w:t>
      </w:r>
      <w:r>
        <w:rPr>
          <w:iCs/>
          <w:i/>
        </w:rPr>
        <w:t xml:space="preserve">defined until p. 5);</w:t>
      </w:r>
      <w:r>
        <w:rPr>
          <w:iCs/>
          <w:i/>
        </w:rP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undefined on p. 5, l. 45. The paper needs serious editing.</w:t>
      </w:r>
    </w:p>
    <w:p>
      <w:pPr>
        <w:pStyle w:val="BodyText"/>
      </w:pPr>
      <w:r>
        <w:t xml:space="preserve">The manuscript has been rewritten with a definition-before-use rule:</w:t>
      </w:r>
    </w:p>
    <w:p>
      <w:pPr>
        <w:numPr>
          <w:ilvl w:val="0"/>
          <w:numId w:val="1005"/>
        </w:numPr>
        <w:pStyle w:val="Compact"/>
      </w:pPr>
      <w:r>
        <w:t xml:space="preserve">The abstract contains no symbols.</w:t>
      </w:r>
    </w:p>
    <w:p>
      <w:pPr>
        <w:numPr>
          <w:ilvl w:val="0"/>
          <w:numId w:val="1005"/>
        </w:numPr>
        <w:pStyle w:val="Compact"/>
      </w:pPr>
      <w:r>
        <w:t xml:space="preserve">The model, every variable and parameter (also tabulated in Table 1), the graph eigenvalue</w:t>
      </w:r>
      <w:r>
        <w:t xml:space="preserve"> </w:t>
      </w:r>
      <m:oMath>
        <m:r>
          <m:t>μ</m:t>
        </m:r>
      </m:oMath>
      <w:r>
        <w:t xml:space="preserve">, and the plane-wave indices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their wavevectors are all defined in §2,</w:t>
      </w:r>
      <w:r>
        <w:t xml:space="preserve"> </w:t>
      </w:r>
      <w:r>
        <w:t xml:space="preserve">before any result.</w:t>
      </w:r>
    </w:p>
    <w:p>
      <w:pPr>
        <w:numPr>
          <w:ilvl w:val="0"/>
          <w:numId w:val="1005"/>
        </w:numPr>
        <w:pStyle w:val="Compact"/>
      </w:pPr>
      <w:r>
        <w:t xml:space="preserve">Fig. 1D now shows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over all indices.</w:t>
      </w:r>
    </w:p>
    <w:p>
      <w:pPr>
        <w:numPr>
          <w:ilvl w:val="0"/>
          <w:numId w:val="1005"/>
        </w:numPr>
        <w:pStyle w:val="Compact"/>
      </w:pPr>
      <w:r>
        <w:t xml:space="preserve">Symbols in captions are defined within each caption.</w:t>
      </w:r>
    </w:p>
    <w:p>
      <w:pPr>
        <w:pStyle w:val="FirstParagraph"/>
      </w:pPr>
      <w:r>
        <w:rPr>
          <w:bCs/>
          <w:b/>
        </w:rPr>
        <w:t xml:space="preserve">2.2</w:t>
      </w:r>
      <w:r>
        <w:t xml:space="preserve"> </w:t>
      </w:r>
      <w:r>
        <w:rPr>
          <w:iCs/>
          <w:i/>
        </w:rPr>
        <w:t xml:space="preserve">The novelty relative to previous Notch–Delta work is unclear; checking full-model</w:t>
      </w:r>
      <w:r>
        <w:rPr>
          <w:iCs/>
          <w:i/>
        </w:rPr>
        <w:t xml:space="preserve"> </w:t>
      </w:r>
      <w:r>
        <w:rPr>
          <w:iCs/>
          <w:i/>
        </w:rPr>
        <w:t xml:space="preserve">stability from the exact Jacobian under a pattern assumption is not a contribution.</w:t>
      </w:r>
    </w:p>
    <w:p>
      <w:pPr>
        <w:pStyle w:val="BodyText"/>
      </w:pPr>
      <w:r>
        <w:t xml:space="preserve">I agree that the per-mode Jacobian check is not a contribution. It has been reduced to one</w:t>
      </w:r>
      <w:r>
        <w:t xml:space="preserve"> </w:t>
      </w:r>
      <w:r>
        <w:t xml:space="preserve">sentence in Methods. The revised paper states its contributions in §4 (</w:t>
      </w:r>
      <w:r>
        <w:t xml:space="preserve">“</w:t>
      </w:r>
      <w:r>
        <w:t xml:space="preserve">What is and is not new</w:t>
      </w:r>
      <w:r>
        <w:t xml:space="preserve">”</w:t>
      </w:r>
      <w:r>
        <w:t xml:space="preserve">):</w:t>
      </w:r>
    </w:p>
    <w:p>
      <w:pPr>
        <w:numPr>
          <w:ilvl w:val="0"/>
          <w:numId w:val="1006"/>
        </w:numPr>
        <w:pStyle w:val="Compact"/>
      </w:pPr>
      <w:r>
        <w:t xml:space="preserve">uniqueness of the steady state for all positive parameters;</w:t>
      </w:r>
    </w:p>
    <w:p>
      <w:pPr>
        <w:numPr>
          <w:ilvl w:val="0"/>
          <w:numId w:val="1006"/>
        </w:numPr>
        <w:pStyle w:val="Compact"/>
      </w:pPr>
      <w:r>
        <w:t xml:space="preserve">a proof that cis inactivation and two-channel trans coupling never change the stationarily</w:t>
      </w:r>
      <w:r>
        <w:t xml:space="preserve"> </w:t>
      </w:r>
      <w:r>
        <w:t xml:space="preserve">selected mode;</w:t>
      </w:r>
    </w:p>
    <w:p>
      <w:pPr>
        <w:numPr>
          <w:ilvl w:val="0"/>
          <w:numId w:val="1006"/>
        </w:numPr>
        <w:pStyle w:val="Compact"/>
      </w:pPr>
      <w:r>
        <w:t xml:space="preserve">an exact separation of predictions that depend only on static responses, which every matched</w:t>
      </w:r>
      <w:r>
        <w:t xml:space="preserve"> </w:t>
      </w:r>
      <w:r>
        <w:t xml:space="preserve">reduced model shares, from those that depend on downstream timescales, which reduced models</w:t>
      </w:r>
      <w:r>
        <w:t xml:space="preserve"> </w:t>
      </w:r>
      <w:r>
        <w:t xml:space="preserve">get wrong;</w:t>
      </w:r>
    </w:p>
    <w:p>
      <w:pPr>
        <w:numPr>
          <w:ilvl w:val="0"/>
          <w:numId w:val="1006"/>
        </w:numPr>
        <w:pStyle w:val="Compact"/>
      </w:pPr>
      <w:r>
        <w:t xml:space="preserve">a quantitative account of where a static stability test fails.</w:t>
      </w:r>
    </w:p>
    <w:p>
      <w:pPr>
        <w:pStyle w:val="FirstParagraph"/>
      </w:pPr>
      <w:r>
        <w:rPr>
          <w:bCs/>
          <w:b/>
        </w:rPr>
        <w:t xml:space="preserve">2.3</w:t>
      </w:r>
      <w:r>
        <w:t xml:space="preserve"> </w:t>
      </w:r>
      <w:r>
        <w:rPr>
          <w:iCs/>
          <w:i/>
        </w:rPr>
        <w:t xml:space="preserve">There could be cases in which a pattern other than the assumed one is unstable, but no</w:t>
      </w:r>
      <w:r>
        <w:rPr>
          <w:iCs/>
          <w:i/>
        </w:rPr>
        <w:t xml:space="preserve"> </w:t>
      </w:r>
      <w:r>
        <w:rPr>
          <w:iCs/>
          <w:i/>
        </w:rPr>
        <w:t xml:space="preserve">such case is presented.</w:t>
      </w:r>
    </w:p>
    <w:p>
      <w:pPr>
        <w:pStyle w:val="BodyText"/>
      </w:pPr>
      <w:r>
        <w:t xml:space="preserve">This is now addressed directly (§3.1(iii) and §3.3).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Proof for stationary instabilities.</w:t>
      </w:r>
      <w:r>
        <w:t xml:space="preserve"> </w:t>
      </w:r>
      <w:r>
        <w:t xml:space="preserve">For stationary instabilities no other pattern can</w:t>
      </w:r>
      <w:r>
        <w:t xml:space="preserve"> </w:t>
      </w:r>
      <w:r>
        <w:t xml:space="preserve">come first.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every other graph eigenvalue, for every positive</w:t>
      </w:r>
      <w:r>
        <w:t xml:space="preserve"> </w:t>
      </w:r>
      <w:r>
        <w:t xml:space="preserve">parameter set and every regular contact graph.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Search for non-stationary cases.</w:t>
      </w:r>
      <w:r>
        <w:t xml:space="preserve"> </w:t>
      </w:r>
      <w:r>
        <w:t xml:space="preserve">The proof does not cover non-stationary instabilities,</w:t>
      </w:r>
      <w:r>
        <w:t xml:space="preserve"> </w:t>
      </w:r>
      <w:r>
        <w:t xml:space="preserve">so 40,000 additional random parameter sets were searched, half in a box ten times wider than</w:t>
      </w:r>
      <w:r>
        <w:t xml:space="preserve"> </w:t>
      </w:r>
      <w:r>
        <w:t xml:space="preserve">the original. Of these, 13,047 were unstable. None had a nonuniform mode other than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dominant, or unstable while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was stable.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one other unstable mode.</w:t>
      </w:r>
      <w:r>
        <w:t xml:space="preserve"> </w:t>
      </w:r>
      <w:r>
        <w:t xml:space="preserve">The only other unstable mode found is the uniform mode,</w:t>
      </w:r>
      <w:r>
        <w:t xml:space="preserve"> </w:t>
      </w:r>
      <w:r>
        <w:t xml:space="preserve">through a complex pair (synchronous oscillation), at 45 of the 4000 sampled points. It always</w:t>
      </w:r>
      <w:r>
        <w:t xml:space="preserve"> </w:t>
      </w:r>
      <w:r>
        <w:t xml:space="preserve">coexists with an unstable three-sublattice mode, and it is reported as such.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Mismatches within</w:t>
      </w:r>
      <w:r>
        <w:rPr>
          <w:bCs/>
          <w:b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bCs/>
          <w:b/>
        </w:rPr>
        <w:t xml:space="preserve">.</w:t>
      </w:r>
      <w:r>
        <w:t xml:space="preserve"> </w:t>
      </w:r>
      <w:r>
        <w:t xml:space="preserve">The twelve static-gain mismatches (point 1.2) are a different</w:t>
      </w:r>
      <w:r>
        <w:t xml:space="preserve"> </w:t>
      </w:r>
      <w:r>
        <w:t xml:space="preserve">kind of case. The tested mode itself is unstable through two eigenvalues.</w:t>
      </w:r>
    </w:p>
    <w:p>
      <w:pPr>
        <w:pStyle w:val="FirstParagraph"/>
      </w:pPr>
      <w:r>
        <w:rPr>
          <w:bCs/>
          <w:b/>
        </w:rPr>
        <w:t xml:space="preserve">2.4</w:t>
      </w:r>
      <w:r>
        <w:t xml:space="preserve"> </w:t>
      </w:r>
      <w:r>
        <w:rPr>
          <w:iCs/>
          <w:i/>
        </w:rPr>
        <w:t xml:space="preserve">That the system can be stable to uniform perturbations while unstable to patterned ones</w:t>
      </w:r>
      <w:r>
        <w:rPr>
          <w:iCs/>
          <w:i/>
        </w:rPr>
        <w:t xml:space="preserve"> </w:t>
      </w:r>
      <w:r>
        <w:rPr>
          <w:iCs/>
          <w:i/>
        </w:rPr>
        <w:t xml:space="preserve">is the same as in all other Notch–Delta models.</w:t>
      </w:r>
    </w:p>
    <w:p>
      <w:pPr>
        <w:pStyle w:val="BodyText"/>
      </w:pPr>
      <w:r>
        <w:t xml:space="preserve">Agreed. This is no longer presented as a finding. It appears once, as a one-line consequence of</w:t>
      </w:r>
      <w:r>
        <w:t xml:space="preserve"> </w:t>
      </w:r>
      <w:r>
        <w:t xml:space="preserve">§3.1(iii) (</w:t>
      </w:r>
      <m:oMath>
        <m:r>
          <m:t>G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 so the uniform mode cannot lose stability through a zero eigenvalue). In</w:t>
      </w:r>
      <w:r>
        <w:t xml:space="preserve"> </w:t>
      </w:r>
      <w:r>
        <w:t xml:space="preserve">§4 it is explicitly described as a generic feature of lateral-inhibition models.</w:t>
      </w:r>
    </w:p>
    <w:p>
      <w:pPr>
        <w:pStyle w:val="BodyText"/>
      </w:pPr>
      <w:r>
        <w:rPr>
          <w:bCs/>
          <w:b/>
        </w:rPr>
        <w:t xml:space="preserve">2.5</w:t>
      </w:r>
      <w:r>
        <w:t xml:space="preserve"> </w:t>
      </w:r>
      <w:r>
        <w:rPr>
          <w:iCs/>
          <w:i/>
        </w:rPr>
        <w:t xml:space="preserve">Putting equations as subfigures is not good practice.</w:t>
      </w:r>
    </w:p>
    <w:p>
      <w:pPr>
        <w:pStyle w:val="BodyText"/>
      </w:pPr>
      <w:r>
        <w:t xml:space="preserve">Removed. The v1 Fig. 1D (equation box) and Fig. 3A–B (block diagram with equations and the</w:t>
      </w:r>
      <w:r>
        <w:t xml:space="preserve"> </w:t>
      </w:r>
      <w:r>
        <w:t xml:space="preserve">Schur identity) no longer exist. All equations are in the text and are numbered.</w:t>
      </w:r>
    </w:p>
    <w:p>
      <w:pPr>
        <w:pStyle w:val="BodyText"/>
      </w:pPr>
      <w:r>
        <w:rPr>
          <w:bCs/>
          <w:b/>
        </w:rPr>
        <w:t xml:space="preserve">2.6</w:t>
      </w:r>
      <w:r>
        <w:t xml:space="preserve"> </w:t>
      </w:r>
      <w:r>
        <w:rPr>
          <w:iCs/>
          <w:i/>
        </w:rPr>
        <w:t xml:space="preserve">Belabouring the growth of the linear instability into a stable nonlinear pattern is</w:t>
      </w:r>
      <w:r>
        <w:rPr>
          <w:iCs/>
          <w:i/>
        </w:rPr>
        <w:t xml:space="preserve"> </w:t>
      </w:r>
      <w:r>
        <w:rPr>
          <w:iCs/>
          <w:i/>
        </w:rPr>
        <w:t xml:space="preserve">unnecessary given earlier work.</w:t>
      </w:r>
    </w:p>
    <w:p>
      <w:pPr>
        <w:pStyle w:val="BodyText"/>
      </w:pPr>
      <w:r>
        <w:t xml:space="preserve">Agreed. The v1 Fig. 5 is removed: amplitude order parameter, snapshots, Delta histogram,</w:t>
      </w:r>
      <w:r>
        <w:t xml:space="preserve"> </w:t>
      </w:r>
      <w:r>
        <w:t xml:space="preserve">solver comparison and Moran’s I. Nonlinear simulations now appear only where they test a new</w:t>
      </w:r>
      <w:r>
        <w:t xml:space="preserve"> </w:t>
      </w:r>
      <w:r>
        <w:t xml:space="preserve">claim (Fig. 5C,D): that the explicit model and its matched reduction grow at different, predicted</w:t>
      </w:r>
      <w:r>
        <w:t xml:space="preserve"> </w:t>
      </w:r>
      <w:r>
        <w:t xml:space="preserve">rates yet reach the same final pattern. The paragraph on fate commitment is cut to one sentence</w:t>
      </w:r>
      <w:r>
        <w:t xml:space="preserve"> </w:t>
      </w:r>
      <w:r>
        <w:t xml:space="preserve">in the Limitations.</w:t>
      </w:r>
    </w:p>
    <w:p>
      <w:pPr>
        <w:pStyle w:val="BodyText"/>
      </w:pPr>
      <w:r>
        <w:rPr>
          <w:bCs/>
          <w:b/>
        </w:rPr>
        <w:t xml:space="preserve">2.7</w:t>
      </w:r>
      <w:r>
        <w:t xml:space="preserve"> </w:t>
      </w:r>
      <w:r>
        <w:rPr>
          <w:iCs/>
          <w:i/>
        </w:rPr>
        <w:t xml:space="preserve">Sections 3.1–3.2 (distinction from simpler three-component models) are the original</w:t>
      </w:r>
      <w:r>
        <w:rPr>
          <w:iCs/>
          <w:i/>
        </w:rPr>
        <w:t xml:space="preserve"> </w:t>
      </w:r>
      <w:r>
        <w:rPr>
          <w:iCs/>
          <w:i/>
        </w:rPr>
        <w:t xml:space="preserve">part; §3.3 seems trivial; the results of §3.4 are not shown in figures and their relevance to</w:t>
      </w:r>
      <w:r>
        <w:rPr>
          <w:iCs/>
          <w:i/>
        </w:rPr>
        <w:t xml:space="preserve"> </w:t>
      </w:r>
      <w:r>
        <w:rPr>
          <w:iCs/>
          <w:i/>
        </w:rPr>
        <w:t xml:space="preserve">stochasticity is unclear.</w:t>
      </w:r>
    </w:p>
    <w:p>
      <w:pPr>
        <w:pStyle w:val="BodyText"/>
      </w:pPr>
      <w:r>
        <w:t xml:space="preserve">Thank you. The revision is built around the part the referee found original. The comparison</w:t>
      </w:r>
      <w:r>
        <w:t xml:space="preserve"> </w:t>
      </w:r>
      <w:r>
        <w:t xml:space="preserve">with three-component models is now quantitative: an explicitly constructed matched</w:t>
      </w:r>
      <w:r>
        <w:t xml:space="preserve"> </w:t>
      </w:r>
      <w:r>
        <w:t xml:space="preserve">three-component (DNA) reduction, analysed in §3.4 and Fig. 5. v1 §3.3 has been deleted. v1 §3.4</w:t>
      </w:r>
      <w:r>
        <w:t xml:space="preserve"> </w:t>
      </w:r>
      <w:r>
        <w:t xml:space="preserve">(the stochastic check) has been removed from the manuscript, since it was not needed for any</w:t>
      </w:r>
      <w:r>
        <w:t xml:space="preserve"> </w:t>
      </w:r>
      <w:r>
        <w:t xml:space="preserve">conclusion. Its code remains in the repository archive.</w:t>
      </w:r>
    </w:p>
    <w:bookmarkEnd w:id="21"/>
    <w:bookmarkStart w:id="22" w:name="summary-of-changes"/>
    <w:p>
      <w:pPr>
        <w:pStyle w:val="Heading1"/>
      </w:pPr>
      <w:r>
        <w:t xml:space="preserve">Summary of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revised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30.3% unstable (733 solver failures excluded)</w:t>
            </w:r>
          </w:p>
        </w:tc>
        <w:tc>
          <w:p>
            <w:pPr>
              <w:pStyle w:val="Compact"/>
              <w:jc w:val="left"/>
            </w:pPr>
            <w:r>
              <w:t xml:space="preserve">36.3% unstable; steady state proved unique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mismatches attributed to</w:t>
            </w:r>
            <w:r>
              <w:t xml:space="preserve"> </w:t>
            </w:r>
            <w:r>
              <w:t xml:space="preserve">“</w:t>
            </w:r>
            <w:r>
              <w:t xml:space="preserve">another mode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two RHP eigenvalues in the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t xml:space="preserve"> </w:t>
            </w:r>
            <w:r>
              <w:t xml:space="preserve">block; Nyquist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componentwise-scaled initial state,</w:t>
            </w:r>
            <w:r>
              <w:t xml:space="preserve"> </w:t>
            </w:r>
            <w:r>
              <w:t xml:space="preserve">“</w:t>
            </w:r>
            <w:r>
              <w:t xml:space="preserve">frozen</w:t>
            </w:r>
            <w:r>
              <w:t xml:space="preserve">”</w:t>
            </w:r>
            <w:r>
              <w:t xml:space="preserve"> </w:t>
            </w:r>
            <w:r>
              <w:t xml:space="preserve">window</w:t>
            </w:r>
          </w:p>
        </w:tc>
        <w:tc>
          <w:p>
            <w:pPr>
              <w:pStyle w:val="Compact"/>
              <w:jc w:val="left"/>
            </w:pPr>
            <w:r>
              <w:t xml:space="preserve">exact eigenvector; window fixed in advance and drawn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unity-gain identity presented as a key result</w:t>
            </w:r>
          </w:p>
        </w:tc>
        <w:tc>
          <w:p>
            <w:pPr>
              <w:pStyle w:val="Compact"/>
              <w:jc w:val="left"/>
            </w:pPr>
            <w:r>
              <w:t xml:space="preserve">presented as standard; equivalence to graph static-gain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reduced-model comparison</w:t>
            </w:r>
          </w:p>
        </w:tc>
        <w:tc>
          <w:p>
            <w:pPr>
              <w:pStyle w:val="Compact"/>
              <w:jc w:val="left"/>
            </w:pPr>
            <w:r>
              <w:t xml:space="preserve">matched DNA and DN reductions; timescale family; Table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equations inside Figs. 1D, 3A–B</w:t>
            </w:r>
          </w:p>
        </w:tc>
        <w:tc>
          <w:p>
            <w:pPr>
              <w:pStyle w:val="Compact"/>
              <w:jc w:val="left"/>
            </w:pPr>
            <w:r>
              <w:t xml:space="preserve">equations only in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nonlinear saturation figure (v1 Fig. 5)</w:t>
            </w:r>
          </w:p>
        </w:tc>
        <w:tc>
          <w:p>
            <w:pPr>
              <w:pStyle w:val="Compact"/>
              <w:jc w:val="left"/>
            </w:pPr>
            <w:r>
              <w:t xml:space="preserve">removed; one targeted comparison kept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§3.3 and §3.4 (stochastic)</w:t>
            </w:r>
          </w:p>
        </w:tc>
        <w:tc>
          <w:p>
            <w:pPr>
              <w:pStyle w:val="Compact"/>
              <w:jc w:val="left"/>
            </w:pPr>
            <w:r>
              <w:t xml:space="preserve">removed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proof that stationary onset always selects the three-sublattice mode</w:t>
            </w:r>
          </w:p>
        </w:tc>
      </w:tr>
    </w:tbl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to the referees</dc:title>
  <dc:creator>Hyeonje Yang</dc:creator>
  <cp:keywords/>
  <dcterms:created xsi:type="dcterms:W3CDTF">2026-10-16T01:30:42Z</dcterms:created>
  <dcterms:modified xsi:type="dcterms:W3CDTF">2026-10-16T01:30:42Z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fontsize">
    <vt:lpwstr>11pt</vt:lpwstr>
  </property>
  <property fmtid="{D5CDD505-2E9C-101B-9397-08002B2CF9AE}" pid="4" name="geometry">
    <vt:lpwstr>margin=2.5cm</vt:lpwstr>
  </property>
  <property fmtid="{D5CDD505-2E9C-101B-9397-08002B2CF9AE}" pid="5" name="subtitle">
    <vt:lpwstr>Mode-resolved feedback gain controls spatial symmetry breaking in an explicit Notch–Delta–proneural circuit (revised as: Explicit Notch–proneural dynamics set the tempo, not the onset, of lateral-inhibition patterning)</vt:lpwstr>
  </property>
</Properties>
</file>