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p>
    <w:p>
      <w:pPr>
        <w:pStyle w:val="Title"/>
      </w:pPr>
      <w:r>
        <w:t>Laudo GDS 165/2021</w:t>
      </w:r>
    </w:p>
    <w:p>
      <w:r>
        <w:t>Processo: Solicitado via SEI Nº 00000.00000-23</w:t>
        <w:br/>
      </w:r>
      <w:r>
        <w:t>Solicitante: Hygor Costa</w:t>
        <w:br/>
      </w:r>
      <w:r>
        <w:t>Objeto: Avaliação de Imóvel para desapropriação</w:t>
      </w:r>
      <w:r>
        <w:br/>
      </w:r>
      <w:r>
        <w:t>Objetivo: Determinação do Justo Valor Indenizatório</w:t>
      </w:r>
    </w:p>
    <w:p>
      <w:r>
        <w:t>Dados do proprietário:</w:t>
        <w:br/>
      </w:r>
      <w:r>
        <w:t>Proprietário: Pedro</w:t>
        <w:br/>
      </w:r>
      <w:r>
        <w:t>CPF: 079.938.334-32</w:t>
      </w:r>
    </w:p>
    <w:p>
      <w:r>
        <w:t>Endereço completo do imóvel:</w:t>
        <w:br/>
      </w:r>
      <w:r>
        <w:t>Endereço: : Rua 01</w:t>
        <w:br/>
      </w:r>
      <w:r>
        <w:t>Município: Recife</w:t>
        <w:br/>
      </w:r>
      <w:r>
        <w:t>CEP: 21030-494</w:t>
        <w:br/>
      </w:r>
      <w:r>
        <w:t>Área para desapropriação: 200m²</w:t>
      </w:r>
    </w:p>
    <w:p>
      <w:r>
        <w:t>Método(s) utilizado(s):</w:t>
        <w:br/>
      </w:r>
      <w:r>
        <w:t>Método Comparativo Direto de Dados de Mercado</w:t>
      </w:r>
    </w:p>
    <w:p>
      <w:r>
        <w:t>Resultado da avaliação:</w:t>
        <w:br/>
      </w:r>
      <w:r>
        <w:t>Valor indenizatório: R$ 1.000,00</w:t>
      </w:r>
    </w:p>
    <w:p>
      <w:r>
        <w:t>Local e data do Laudo de avaliação:</w:t>
        <w:br/>
      </w:r>
      <w:r>
        <w:t>Recife, 06/12/2021</w:t>
      </w:r>
    </w:p>
    <w:p>
      <w:pPr>
        <w:pStyle w:val="Heading1"/>
      </w:pPr>
      <w:r>
        <w:t>IDENTIFICAÇÃO DO SOLICITANTE</w:t>
      </w:r>
    </w:p>
    <w:p>
      <w:r>
        <w:t>Solicitante: Hygor Costa</w:t>
        <w:br/>
      </w:r>
      <w:r>
        <w:t>Sistema: Adutora Agreste</w:t>
      </w:r>
    </w:p>
    <w:p>
      <w:pPr>
        <w:pStyle w:val="Heading1"/>
      </w:pPr>
      <w:r>
        <w:t>FINALIDADE DO LAUDO</w:t>
      </w:r>
    </w:p>
    <w:p>
      <w:r>
        <w:t>A finalidade deste laudo é avaliar o imóvel para fins de indenização fruto de desapropriação.</w:t>
      </w:r>
    </w:p>
    <w:p>
      <w:pPr>
        <w:pStyle w:val="Heading1"/>
      </w:pPr>
      <w:r>
        <w:t>OBJETIVO DA AVALIAÇÃO</w:t>
      </w:r>
    </w:p>
    <w:p>
      <w:r>
        <w:t>A presente avalição tem por objetivo determinar o valor do metro quadrado do imóvel, considerando os preços praticados na região de abrangência do mesmo.</w:t>
      </w:r>
    </w:p>
    <w:p>
      <w:pPr>
        <w:pStyle w:val="Heading1"/>
      </w:pPr>
      <w:r>
        <w:t>PRESSUPOSTOS, RESSALVAS E FATORES LIMITANTES</w:t>
      </w:r>
    </w:p>
    <w:p>
      <w:r>
        <w:t>Para atender ao objetivo a que se propõe, este Laudo expressará o justo valor de mercado do imóvel, o qual é assim definido: O valor expresso em termos monetários que o bem alcançaria se exposto à venda por um prazo razoável num mercado aberto em que haja um vendedor desejoso de vender e um comprador desejoso de comprar, ambos conhecedores do bem e do mercado e livres de pressões anormais.</w:t>
        <w:br/>
      </w:r>
    </w:p>
    <w:p>
      <w:pPr>
        <w:pStyle w:val="ListBullet"/>
      </w:pPr>
      <w:r>
        <w:t>O avaliador considerou que os elementos a eles fornecidos são legítimos e, que as informações prestadas por terceiros foram dadas de boa-fé, merecendo, portanto, todo o crédito.</w:t>
        <w:br/>
      </w:r>
    </w:p>
    <w:p>
      <w:pPr>
        <w:pStyle w:val="ListBullet"/>
      </w:pPr>
      <w:r>
        <w:t>Não foram feitas averiguações a respeito de restrições ao direito de propriedade ou de quaisquer ônus que pesem sobre o imóvel avaliando.</w:t>
        <w:br/>
      </w:r>
    </w:p>
    <w:p>
      <w:pPr>
        <w:pStyle w:val="ListBullet"/>
      </w:pPr>
      <w:r>
        <w:t>O autor do laudo não possui desejo ou intenção de adquirir o imóvel.</w:t>
        <w:br/>
      </w:r>
    </w:p>
    <w:p>
      <w:pPr>
        <w:pStyle w:val="ListBullet"/>
      </w:pPr>
      <w:r>
        <w:t>Para a individualização do objeto da avaliação, o avaliador se valeu dos elementos abaixo relacionados: Vistoria no imóvel avaliando e vizinhança; Pesquisas efetuadas no mercado imobiliário local; Normas Brasileiras para Avaliação de Bens NBR-14.653, da ABNT; Publicações especializadas em Engenharia de Avaliações.</w:t>
      </w:r>
    </w:p>
    <w:p>
      <w:pPr>
        <w:pStyle w:val="Heading1"/>
      </w:pPr>
      <w:r>
        <w:t>DESCRIÇÃO DA REGIÃO</w:t>
      </w:r>
    </w:p>
    <w:p>
      <w:r>
        <w:t>rica</w:t>
      </w:r>
    </w:p>
    <w:p>
      <w:pPr>
        <w:pStyle w:val="Heading1"/>
      </w:pPr>
      <w:r>
        <w:t>IDENTIFICAÇÃO E CARACTERIZAÇÃO DO IMÓVEL AVALIANDO</w:t>
      </w:r>
    </w:p>
    <w:p>
      <w:r>
        <w:t>rural</w:t>
      </w:r>
    </w:p>
    <w:p>
      <w:pPr>
        <w:pStyle w:val="Heading1"/>
      </w:pPr>
      <w:r>
        <w:t>ANÁLISE DO MERCADO</w:t>
      </w:r>
    </w:p>
    <w:p>
      <w:r>
        <w:t>O mercado imobiliário do estado de Pernambuco passou por um grande momento de desenvolvimento e crescente valorização nos imóveis residenciais e comerciais. Esse crescimento está relacionado ao surgimento de novas atividades econômicas no estado e pela existência de uma demanda reprimida por novas habitações. Contudo, especialistas no assunto indicam que este mercado continuará crescendo, não na mesma velocidade dos últimos anos, decorrência de uma correção natural, motivado por fatores como, aumento substancial na oferta, desaceleração no crescimento e até mesmo queda de confiança no mercado, frutos também da pandemia. Dessa forma, conforme observação do mercado, temos:</w:t>
        <w:br/>
      </w:r>
    </w:p>
    <w:p>
      <w:r>
        <w:t>Desempenho de mercado:</w:t>
        <w:br/>
        <w:t>médio</w:t>
      </w:r>
    </w:p>
    <w:p>
      <w:r>
        <w:t>Quantidade de ofertas de bens similares:</w:t>
        <w:br/>
        <w:t>baixo</w:t>
      </w:r>
    </w:p>
    <w:p>
      <w:r>
        <w:t>Absorção do bem pelo mercado:</w:t>
        <w:br/>
        <w:t>médio</w:t>
      </w:r>
    </w:p>
    <w:p>
      <w:r>
        <w:t>Liquidez:</w:t>
        <w:br/>
        <w:t>baixo</w:t>
      </w:r>
    </w:p>
    <w:p>
      <w:pPr>
        <w:pStyle w:val="Heading1"/>
      </w:pPr>
      <w:r>
        <w:t>ESPECIFICAÇÃO DA AVALIAÇÃO</w:t>
      </w:r>
    </w:p>
    <w:p>
      <w:r>
        <w:t xml:space="preserve">'A Norma Brasileira de Avaliação de Bens (NBR 14.653 da ABNT) estabelece que todo trabalho avaliatório receba uma classificação denominada Especificação da Avaliação, quanto à fundamentação e precisão dos resultados, estabelecida em razão do prazo demandado, dos recursos despendidos, bem como da disponibilidade de dados de mercado e da natureza do tratamento a ser empregado. </w:t>
        <w:br/>
      </w:r>
      <w:r>
        <w:t>O Grau de Fundamentação de um trabalho está relacionado ao aprofundamento do trabalho avaliatório, com o envolvimento do avaliador na seleção da metodologia em razão da confiabilidade, quantidade, qualidade e natureza dos imóveis pesquisados.</w:t>
        <w:br/>
      </w:r>
      <w:r>
        <w:t xml:space="preserve"> O Grau de Precisão será determinado quando for possível medir o grau de certeza e o nível de erro tolerável numa avaliação, dependendo do resultado do tratamento estatístico dispensado a amostra utilizada no trabalho. </w:t>
        <w:br/>
      </w:r>
      <w:r>
        <w:t>A especificação de uma avaliação está relacionada tanto com o empenho do engenheiro de avaliações como com o mercado e as informações que possam ser dele extraídas. O estabelecimento “a priori” pelo contratante do grau de fundamentação desejado tem por objetivo a determinação do empenho do trabalho avaliatório, mas não representa garantia de alcance de graus elevados de fundamentação. Quanto ao grau de precisão, este depende exclusivamente das características do mercado e da amostra coletada e, por isso, não é passível de fixação “a priori</w:t>
      </w:r>
    </w:p>
    <w:p>
      <w:pPr>
        <w:pStyle w:val="Heading2"/>
      </w:pPr>
      <w:r>
        <w:t>Quanto a fundamentação:</w:t>
      </w:r>
    </w:p>
    <w:p>
      <w:r>
        <w:t>Conforme a NBR 14.653-2, a presente avaliação está enquadrada no Grau II de fundamentação, no caso de utilização do tratamento por inferência estatística, segundo tabelas da Norma transcritas abaixo:</w:t>
      </w:r>
    </w:p>
    <w:p>
      <w:r>
        <w:br/>
        <w:br/>
        <w:t xml:space="preserve"> Tabela 1 – Grau de fundamentação no caso de utilização de modelos de regressão linear</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vAlign w:val="center"/>
          </w:tcPr>
          <w:p>
            <w:pPr>
              <w:jc w:val="center"/>
            </w:pPr>
            <w:r>
              <w:t>Item</w:t>
            </w:r>
          </w:p>
        </w:tc>
        <w:tc>
          <w:tcPr>
            <w:tcW w:type="dxa" w:w="1440"/>
            <w:vAlign w:val="center"/>
          </w:tcPr>
          <w:p>
            <w:pPr>
              <w:jc w:val="center"/>
            </w:pPr>
            <w:r>
              <w:t>Descrição</w:t>
            </w:r>
          </w:p>
        </w:tc>
        <w:tc>
          <w:tcPr>
            <w:tcW w:type="dxa" w:w="1440"/>
            <w:vAlign w:val="center"/>
          </w:tcPr>
          <w:p>
            <w:pPr>
              <w:jc w:val="center"/>
            </w:pPr>
            <w:r>
              <w:t>III</w:t>
            </w:r>
          </w:p>
        </w:tc>
        <w:tc>
          <w:tcPr>
            <w:tcW w:type="dxa" w:w="1440"/>
            <w:vAlign w:val="center"/>
          </w:tcPr>
          <w:p>
            <w:pPr>
              <w:jc w:val="center"/>
            </w:pPr>
            <w:r>
              <w:t>II</w:t>
            </w:r>
          </w:p>
        </w:tc>
        <w:tc>
          <w:tcPr>
            <w:tcW w:type="dxa" w:w="1440"/>
            <w:vAlign w:val="center"/>
          </w:tcPr>
          <w:p>
            <w:pPr>
              <w:jc w:val="center"/>
            </w:pPr>
            <w:r>
              <w:t>I</w:t>
            </w:r>
          </w:p>
        </w:tc>
        <w:tc>
          <w:tcPr>
            <w:tcW w:type="dxa" w:w="1440"/>
            <w:vAlign w:val="center"/>
          </w:tcPr>
          <w:p>
            <w:pPr>
              <w:jc w:val="center"/>
            </w:pPr>
            <w:r>
              <w:t>Pontos</w:t>
            </w:r>
          </w:p>
        </w:tc>
      </w:tr>
      <w:tr>
        <w:tc>
          <w:tcPr>
            <w:tcW w:type="dxa" w:w="1440"/>
            <w:vAlign w:val="center"/>
          </w:tcPr>
          <w:p>
            <w:pPr>
              <w:jc w:val="center"/>
            </w:pPr>
            <w:r>
              <w:t>1</w:t>
            </w:r>
          </w:p>
        </w:tc>
        <w:tc>
          <w:tcPr>
            <w:tcW w:type="dxa" w:w="1440"/>
            <w:vAlign w:val="center"/>
          </w:tcPr>
          <w:p>
            <w:pPr>
              <w:jc w:val="center"/>
            </w:pPr>
            <w:r>
              <w:t>Caracterização do imóvel avaliando</w:t>
            </w:r>
          </w:p>
        </w:tc>
        <w:tc>
          <w:tcPr>
            <w:tcW w:type="dxa" w:w="1440"/>
            <w:vAlign w:val="center"/>
          </w:tcPr>
          <w:p>
            <w:pPr>
              <w:jc w:val="center"/>
            </w:pPr>
            <w:r>
              <w:t>Completa quanto a todos os fatores analisados</w:t>
            </w:r>
          </w:p>
        </w:tc>
        <w:tc>
          <w:tcPr>
            <w:tcW w:type="dxa" w:w="1440"/>
            <w:vAlign w:val="center"/>
          </w:tcPr>
          <w:p>
            <w:pPr>
              <w:jc w:val="center"/>
            </w:pPr>
            <w:r>
              <w:t>Completa quanto às variáveis utilizadas no modelo</w:t>
            </w:r>
          </w:p>
        </w:tc>
        <w:tc>
          <w:tcPr>
            <w:tcW w:type="dxa" w:w="1440"/>
            <w:vAlign w:val="center"/>
          </w:tcPr>
          <w:p>
            <w:pPr>
              <w:jc w:val="center"/>
            </w:pPr>
            <w:r>
              <w:t>Adoção de situação paradigma</w:t>
            </w:r>
          </w:p>
        </w:tc>
        <w:tc>
          <w:tcPr>
            <w:tcW w:type="dxa" w:w="1440"/>
            <w:vAlign w:val="center"/>
          </w:tcPr>
          <w:p>
            <w:pPr>
              <w:jc w:val="center"/>
            </w:pPr>
            <w:r>
              <w:t>3</w:t>
            </w:r>
          </w:p>
        </w:tc>
      </w:tr>
      <w:tr>
        <w:tc>
          <w:tcPr>
            <w:tcW w:type="dxa" w:w="1440"/>
            <w:vAlign w:val="center"/>
          </w:tcPr>
          <w:p>
            <w:pPr>
              <w:jc w:val="center"/>
            </w:pPr>
            <w:r>
              <w:t>2</w:t>
            </w:r>
          </w:p>
        </w:tc>
        <w:tc>
          <w:tcPr>
            <w:tcW w:type="dxa" w:w="1440"/>
            <w:vAlign w:val="center"/>
          </w:tcPr>
          <w:p>
            <w:pPr>
              <w:jc w:val="center"/>
            </w:pPr>
            <w:r>
              <w:t>Quantidade mínima de dados de mercado, efetivamente utilizados.</w:t>
            </w:r>
          </w:p>
        </w:tc>
        <w:tc>
          <w:tcPr>
            <w:tcW w:type="dxa" w:w="1440"/>
            <w:vAlign w:val="center"/>
          </w:tcPr>
          <w:p>
            <w:pPr>
              <w:jc w:val="center"/>
            </w:pPr>
            <w:r>
              <w:t>6 (k+1), onde k é o número de variáveis independentes</w:t>
            </w:r>
          </w:p>
        </w:tc>
        <w:tc>
          <w:tcPr>
            <w:tcW w:type="dxa" w:w="1440"/>
            <w:vAlign w:val="center"/>
          </w:tcPr>
          <w:p>
            <w:pPr>
              <w:jc w:val="center"/>
            </w:pPr>
            <w:r>
              <w:t>4 (k+1), onde k é o número de variáveis independentes</w:t>
            </w:r>
          </w:p>
        </w:tc>
        <w:tc>
          <w:tcPr>
            <w:tcW w:type="dxa" w:w="1440"/>
            <w:vAlign w:val="center"/>
          </w:tcPr>
          <w:p>
            <w:pPr>
              <w:jc w:val="center"/>
            </w:pPr>
            <w:r>
              <w:t>3 (k+1), onde k é o número de variáveis independentes</w:t>
            </w:r>
          </w:p>
        </w:tc>
        <w:tc>
          <w:tcPr>
            <w:tcW w:type="dxa" w:w="1440"/>
            <w:vAlign w:val="center"/>
          </w:tcPr>
          <w:p>
            <w:pPr>
              <w:jc w:val="center"/>
            </w:pPr>
            <w:r>
              <w:t>2</w:t>
            </w:r>
          </w:p>
        </w:tc>
      </w:tr>
      <w:tr>
        <w:tc>
          <w:tcPr>
            <w:tcW w:type="dxa" w:w="1440"/>
            <w:vAlign w:val="center"/>
          </w:tcPr>
          <w:p>
            <w:pPr>
              <w:jc w:val="center"/>
            </w:pPr>
            <w:r>
              <w:t>3</w:t>
            </w:r>
          </w:p>
        </w:tc>
        <w:tc>
          <w:tcPr>
            <w:tcW w:type="dxa" w:w="1440"/>
            <w:vAlign w:val="center"/>
          </w:tcPr>
          <w:p>
            <w:pPr>
              <w:jc w:val="center"/>
            </w:pPr>
            <w:r>
              <w:t>Identificação dos dados de mercado</w:t>
            </w:r>
          </w:p>
        </w:tc>
        <w:tc>
          <w:tcPr>
            <w:tcW w:type="dxa" w:w="1440"/>
            <w:vAlign w:val="center"/>
          </w:tcPr>
          <w:p>
            <w:pPr>
              <w:jc w:val="center"/>
            </w:pPr>
            <w:r>
              <w:t>Apresentação de informações relativas a todas as características dos dados analisadas, com foto e características observadas pelo autor do laudo</w:t>
            </w:r>
          </w:p>
        </w:tc>
        <w:tc>
          <w:tcPr>
            <w:tcW w:type="dxa" w:w="1440"/>
            <w:vAlign w:val="center"/>
          </w:tcPr>
          <w:p>
            <w:pPr>
              <w:jc w:val="center"/>
            </w:pPr>
            <w:r>
              <w:t>Apresentação de informações relativas a todos os dados e variáveis analisados na modelagem</w:t>
            </w:r>
          </w:p>
        </w:tc>
        <w:tc>
          <w:tcPr>
            <w:tcW w:type="dxa" w:w="1440"/>
            <w:vAlign w:val="center"/>
          </w:tcPr>
          <w:p>
            <w:pPr>
              <w:jc w:val="center"/>
            </w:pPr>
            <w:r>
              <w:t>Apresentação de informações relativas aos dados e variáveis efetivamente utilizados no modelo</w:t>
            </w:r>
          </w:p>
        </w:tc>
        <w:tc>
          <w:tcPr>
            <w:tcW w:type="dxa" w:w="1440"/>
            <w:vAlign w:val="center"/>
          </w:tcPr>
          <w:p>
            <w:pPr>
              <w:jc w:val="center"/>
            </w:pPr>
            <w:r>
              <w:t>3</w:t>
            </w:r>
          </w:p>
        </w:tc>
      </w:tr>
      <w:tr>
        <w:tc>
          <w:tcPr>
            <w:tcW w:type="dxa" w:w="1440"/>
            <w:vAlign w:val="center"/>
          </w:tcPr>
          <w:p>
            <w:pPr>
              <w:jc w:val="center"/>
            </w:pPr>
            <w:r>
              <w:t>4</w:t>
            </w:r>
          </w:p>
        </w:tc>
        <w:tc>
          <w:tcPr>
            <w:tcW w:type="dxa" w:w="1440"/>
            <w:vAlign w:val="center"/>
          </w:tcPr>
          <w:p>
            <w:pPr>
              <w:jc w:val="center"/>
            </w:pPr>
            <w:r>
              <w:t>Extrapolação</w:t>
            </w:r>
          </w:p>
        </w:tc>
        <w:tc>
          <w:tcPr>
            <w:tcW w:type="dxa" w:w="1440"/>
            <w:vAlign w:val="center"/>
          </w:tcPr>
          <w:p>
            <w:pPr>
              <w:jc w:val="center"/>
            </w:pPr>
            <w:r>
              <w:t>Não Admitida</w:t>
            </w:r>
          </w:p>
        </w:tc>
        <w:tc>
          <w:tcPr>
            <w:tcW w:type="dxa" w:w="1440"/>
            <w:vAlign w:val="center"/>
          </w:tcPr>
          <w:p>
            <w:pPr>
              <w:jc w:val="center"/>
            </w:pPr>
            <w:r>
              <w:t>Admitida para apenas uma variável, desde que: a) as medidas das características do imóvel avaliando não sejam superiores a 100% do limite amostral superior, nem inferiores à metade do limite amostral inferior; b) o valor estimado não ultrapasse 15% do valor calculado no limite da fronteira amostral, para referida variável, em módulo.</w:t>
            </w:r>
          </w:p>
        </w:tc>
        <w:tc>
          <w:tcPr>
            <w:tcW w:type="dxa" w:w="1440"/>
            <w:vAlign w:val="center"/>
          </w:tcPr>
          <w:p>
            <w:pPr>
              <w:jc w:val="center"/>
            </w:pPr>
            <w:r>
              <w:t>Admitida, desde que: a) as medidas das características do imóvel avaliando não sejam superiores a 100% do limite amostral superior, nem inferiores à metade do limite amostral inferior.  b) o valor estimado não ultrapasse 20% do valor calculado no limite da fronteira amostral, para as referidas variáveis, de per si e simultaneamente em módulo.</w:t>
            </w:r>
          </w:p>
        </w:tc>
        <w:tc>
          <w:tcPr>
            <w:tcW w:type="dxa" w:w="1440"/>
            <w:vAlign w:val="center"/>
          </w:tcPr>
          <w:p>
            <w:pPr>
              <w:jc w:val="center"/>
            </w:pPr>
            <w:r>
              <w:t>2</w:t>
            </w:r>
          </w:p>
        </w:tc>
      </w:tr>
      <w:tr>
        <w:tc>
          <w:tcPr>
            <w:tcW w:type="dxa" w:w="1440"/>
            <w:vAlign w:val="center"/>
          </w:tcPr>
          <w:p>
            <w:pPr>
              <w:jc w:val="center"/>
            </w:pPr>
            <w:r>
              <w:t>5</w:t>
            </w:r>
          </w:p>
        </w:tc>
        <w:tc>
          <w:tcPr>
            <w:tcW w:type="dxa" w:w="1440"/>
            <w:vAlign w:val="center"/>
          </w:tcPr>
          <w:p>
            <w:pPr>
              <w:jc w:val="center"/>
            </w:pPr>
            <w:r>
              <w:t>Nível de significância (somatório do valor das duas caudas) máximo para a rejeição da hipótese nula de cada regressor (teste bicaudal)</w:t>
            </w:r>
          </w:p>
        </w:tc>
        <w:tc>
          <w:tcPr>
            <w:tcW w:type="dxa" w:w="1440"/>
            <w:vAlign w:val="center"/>
          </w:tcPr>
          <w:p>
            <w:pPr>
              <w:jc w:val="center"/>
            </w:pPr>
            <w:r>
              <w:t>10%</w:t>
            </w:r>
          </w:p>
        </w:tc>
        <w:tc>
          <w:tcPr>
            <w:tcW w:type="dxa" w:w="1440"/>
            <w:vAlign w:val="center"/>
          </w:tcPr>
          <w:p>
            <w:pPr>
              <w:jc w:val="center"/>
            </w:pPr>
            <w:r>
              <w:t>20%</w:t>
            </w:r>
          </w:p>
        </w:tc>
        <w:tc>
          <w:tcPr>
            <w:tcW w:type="dxa" w:w="1440"/>
            <w:vAlign w:val="center"/>
          </w:tcPr>
          <w:p>
            <w:pPr>
              <w:jc w:val="center"/>
            </w:pPr>
            <w:r>
              <w:t>30%</w:t>
            </w:r>
          </w:p>
        </w:tc>
        <w:tc>
          <w:tcPr>
            <w:tcW w:type="dxa" w:w="1440"/>
            <w:vAlign w:val="center"/>
          </w:tcPr>
          <w:p>
            <w:pPr>
              <w:jc w:val="center"/>
            </w:pPr>
            <w:r>
              <w:t>2</w:t>
            </w:r>
          </w:p>
        </w:tc>
      </w:tr>
      <w:tr>
        <w:tc>
          <w:tcPr>
            <w:tcW w:type="dxa" w:w="1440"/>
            <w:vAlign w:val="center"/>
          </w:tcPr>
          <w:p>
            <w:pPr>
              <w:jc w:val="center"/>
            </w:pPr>
            <w:r>
              <w:t>6</w:t>
            </w:r>
          </w:p>
        </w:tc>
        <w:tc>
          <w:tcPr>
            <w:tcW w:type="dxa" w:w="1440"/>
            <w:vAlign w:val="center"/>
          </w:tcPr>
          <w:p>
            <w:pPr>
              <w:jc w:val="center"/>
            </w:pPr>
            <w:r>
              <w:t>Nível de significância máximo admitido para a rejeição da hipótese nula do modelo através do teste F de Snedecor</w:t>
            </w:r>
          </w:p>
        </w:tc>
        <w:tc>
          <w:tcPr>
            <w:tcW w:type="dxa" w:w="1440"/>
            <w:vAlign w:val="center"/>
          </w:tcPr>
          <w:p>
            <w:pPr>
              <w:jc w:val="center"/>
            </w:pPr>
            <w:r>
              <w:t>1%</w:t>
            </w:r>
          </w:p>
        </w:tc>
        <w:tc>
          <w:tcPr>
            <w:tcW w:type="dxa" w:w="1440"/>
            <w:vAlign w:val="center"/>
          </w:tcPr>
          <w:p>
            <w:pPr>
              <w:jc w:val="center"/>
            </w:pPr>
            <w:r>
              <w:t>2%</w:t>
            </w:r>
          </w:p>
        </w:tc>
        <w:tc>
          <w:tcPr>
            <w:tcW w:type="dxa" w:w="1440"/>
            <w:vAlign w:val="center"/>
          </w:tcPr>
          <w:p>
            <w:pPr>
              <w:jc w:val="center"/>
            </w:pPr>
            <w:r>
              <w:t>5%</w:t>
            </w:r>
          </w:p>
        </w:tc>
        <w:tc>
          <w:tcPr>
            <w:tcW w:type="dxa" w:w="1440"/>
            <w:vAlign w:val="center"/>
          </w:tcPr>
          <w:p>
            <w:pPr>
              <w:jc w:val="center"/>
            </w:pPr>
            <w:r>
              <w:t>2</w:t>
            </w:r>
          </w:p>
        </w:tc>
      </w:tr>
      <w:tr>
        <w:tc>
          <w:tcPr>
            <w:tcW w:type="dxa" w:w="1440"/>
            <w:vAlign w:val="center"/>
          </w:tcPr>
          <w:p>
            <w:pPr>
              <w:jc w:val="center"/>
            </w:pPr>
            <w:r/>
          </w:p>
        </w:tc>
        <w:tc>
          <w:tcPr>
            <w:tcW w:type="dxa" w:w="1440"/>
            <w:vAlign w:val="center"/>
          </w:tcPr>
          <w:p>
            <w:pPr>
              <w:jc w:val="center"/>
            </w:pPr>
            <w:r/>
          </w:p>
        </w:tc>
        <w:tc>
          <w:tcPr>
            <w:tcW w:type="dxa" w:w="1440"/>
            <w:vAlign w:val="center"/>
          </w:tcPr>
          <w:p>
            <w:pPr>
              <w:jc w:val="center"/>
            </w:pPr>
            <w:r/>
          </w:p>
        </w:tc>
        <w:tc>
          <w:tcPr>
            <w:tcW w:type="dxa" w:w="1440"/>
            <w:vAlign w:val="center"/>
          </w:tcPr>
          <w:p>
            <w:pPr>
              <w:jc w:val="center"/>
            </w:pPr>
            <w:r/>
          </w:p>
        </w:tc>
        <w:tc>
          <w:tcPr>
            <w:tcW w:type="dxa" w:w="1440"/>
            <w:vAlign w:val="center"/>
          </w:tcPr>
          <w:p>
            <w:pPr>
              <w:jc w:val="center"/>
            </w:pPr>
            <w:r>
              <w:t>TOTAL</w:t>
            </w:r>
          </w:p>
        </w:tc>
        <w:tc>
          <w:tcPr>
            <w:tcW w:type="dxa" w:w="1440"/>
            <w:vAlign w:val="center"/>
          </w:tcPr>
          <w:p>
            <w:pPr>
              <w:jc w:val="center"/>
            </w:pPr>
            <w:r>
              <w:t>14</w:t>
            </w:r>
          </w:p>
        </w:tc>
      </w:tr>
    </w:tbl>
    <w:p>
      <w:r>
        <w:br/>
        <w:br/>
        <w:t xml:space="preserve"> Tabela 2 – Enquadramento do laudo segundo seu grau de fundamentação no caso de modelos de regressão linear</w:t>
      </w:r>
    </w:p>
    <w:tbl>
      <w:tblPr>
        <w:tblW w:type="auto" w:w="0"/>
        <w:tblLook w:firstColumn="1" w:firstRow="1" w:lastColumn="0" w:lastRow="0" w:noHBand="0" w:noVBand="1" w:val="04A0"/>
      </w:tblPr>
      <w:tblGrid>
        <w:gridCol w:w="2160"/>
        <w:gridCol w:w="2160"/>
        <w:gridCol w:w="2160"/>
        <w:gridCol w:w="2160"/>
      </w:tblGrid>
      <w:tr>
        <w:tc>
          <w:tcPr>
            <w:tcW w:type="dxa" w:w="2160"/>
            <w:vAlign w:val="center"/>
          </w:tcPr>
          <w:p>
            <w:pPr>
              <w:jc w:val="center"/>
            </w:pPr>
            <w:r>
              <w:t>Graus</w:t>
            </w:r>
          </w:p>
        </w:tc>
        <w:tc>
          <w:tcPr>
            <w:tcW w:type="dxa" w:w="2160"/>
            <w:vAlign w:val="center"/>
          </w:tcPr>
          <w:p>
            <w:pPr>
              <w:jc w:val="center"/>
            </w:pPr>
            <w:r>
              <w:t>III</w:t>
            </w:r>
          </w:p>
        </w:tc>
        <w:tc>
          <w:tcPr>
            <w:tcW w:type="dxa" w:w="2160"/>
            <w:vAlign w:val="center"/>
          </w:tcPr>
          <w:p>
            <w:pPr>
              <w:jc w:val="center"/>
            </w:pPr>
            <w:r>
              <w:t>II</w:t>
            </w:r>
          </w:p>
        </w:tc>
        <w:tc>
          <w:tcPr>
            <w:tcW w:type="dxa" w:w="2160"/>
            <w:vAlign w:val="center"/>
          </w:tcPr>
          <w:p>
            <w:pPr>
              <w:jc w:val="center"/>
            </w:pPr>
            <w:r>
              <w:t>I</w:t>
            </w:r>
          </w:p>
        </w:tc>
      </w:tr>
      <w:tr>
        <w:tc>
          <w:tcPr>
            <w:tcW w:type="dxa" w:w="2160"/>
            <w:vAlign w:val="center"/>
          </w:tcPr>
          <w:p>
            <w:pPr>
              <w:jc w:val="center"/>
            </w:pPr>
            <w:r>
              <w:t>Pontos mínimos</w:t>
            </w:r>
          </w:p>
        </w:tc>
        <w:tc>
          <w:tcPr>
            <w:tcW w:type="dxa" w:w="2160"/>
            <w:vAlign w:val="center"/>
          </w:tcPr>
          <w:p>
            <w:pPr>
              <w:jc w:val="center"/>
            </w:pPr>
            <w:r>
              <w:t>16</w:t>
            </w:r>
          </w:p>
        </w:tc>
        <w:tc>
          <w:tcPr>
            <w:tcW w:type="dxa" w:w="2160"/>
            <w:vAlign w:val="center"/>
          </w:tcPr>
          <w:p>
            <w:pPr>
              <w:jc w:val="center"/>
            </w:pPr>
            <w:r>
              <w:t>11</w:t>
            </w:r>
          </w:p>
        </w:tc>
        <w:tc>
          <w:tcPr>
            <w:tcW w:type="dxa" w:w="2160"/>
            <w:vAlign w:val="center"/>
          </w:tcPr>
          <w:p>
            <w:pPr>
              <w:jc w:val="center"/>
            </w:pPr>
            <w:r>
              <w:t>6</w:t>
            </w:r>
          </w:p>
        </w:tc>
      </w:tr>
      <w:tr>
        <w:tc>
          <w:tcPr>
            <w:tcW w:type="dxa" w:w="2160"/>
            <w:vAlign w:val="center"/>
          </w:tcPr>
          <w:p>
            <w:pPr>
              <w:jc w:val="center"/>
            </w:pPr>
            <w:r>
              <w:t>Itens obrigatórios</w:t>
            </w:r>
          </w:p>
        </w:tc>
        <w:tc>
          <w:tcPr>
            <w:tcW w:type="dxa" w:w="2160"/>
            <w:vAlign w:val="center"/>
          </w:tcPr>
          <w:p>
            <w:pPr>
              <w:jc w:val="center"/>
            </w:pPr>
            <w:r>
              <w:t>Itens 2,4,5 e 6 no Grau III e os demais no mínimo no Grau II.</w:t>
            </w:r>
          </w:p>
        </w:tc>
        <w:tc>
          <w:tcPr>
            <w:tcW w:type="dxa" w:w="2160"/>
            <w:vAlign w:val="center"/>
          </w:tcPr>
          <w:p>
            <w:pPr>
              <w:jc w:val="center"/>
            </w:pPr>
            <w:r>
              <w:t>Itens 2, 4, 5 e 6 no mínimo no Grau II e os demais no mínimo no Grau I.</w:t>
            </w:r>
          </w:p>
        </w:tc>
        <w:tc>
          <w:tcPr>
            <w:tcW w:type="dxa" w:w="2160"/>
            <w:vAlign w:val="center"/>
          </w:tcPr>
          <w:p>
            <w:pPr>
              <w:jc w:val="center"/>
            </w:pPr>
            <w:r>
              <w:t>Todos, no mínimo no grau I</w:t>
            </w:r>
          </w:p>
        </w:tc>
      </w:tr>
    </w:tbl>
    <w:p>
      <w:pPr>
        <w:pStyle w:val="Heading2"/>
      </w:pPr>
      <w:r>
        <w:br/>
        <w:t>Quanto a precisao:</w:t>
      </w:r>
    </w:p>
    <w:p>
      <w:r>
        <w:t>Conforme a NBR 14.653-2, a presente avaliação está enquadrada no Grau III da estimativa de valor, no caso de utilização do tratamento por fatores, segundo tabela da Norma transcrita abaixo:</w:t>
      </w:r>
    </w:p>
    <w:p>
      <w:r>
        <w:br/>
        <w:t xml:space="preserve"> Tabela 5 – Grau de precisão nos casos de utilização de modelos de regressão linear ou do tratamento por fatores</w:t>
      </w:r>
    </w:p>
    <w:tbl>
      <w:tblPr>
        <w:tblW w:type="auto" w:w="0"/>
        <w:tblLook w:firstColumn="1" w:firstRow="1" w:lastColumn="0" w:lastRow="0" w:noHBand="0" w:noVBand="1" w:val="04A0"/>
      </w:tblPr>
      <w:tblGrid>
        <w:gridCol w:w="2160"/>
        <w:gridCol w:w="2160"/>
        <w:gridCol w:w="2160"/>
        <w:gridCol w:w="2160"/>
      </w:tblGrid>
      <w:tr>
        <w:tc>
          <w:tcPr>
            <w:tcW w:type="dxa" w:w="2160"/>
            <w:vAlign w:val="center"/>
          </w:tcPr>
          <w:p>
            <w:pPr>
              <w:jc w:val="center"/>
            </w:pPr>
            <w:r>
              <w:t>Descrição</w:t>
            </w:r>
          </w:p>
        </w:tc>
        <w:tc>
          <w:tcPr>
            <w:tcW w:type="dxa" w:w="2160"/>
            <w:vAlign w:val="center"/>
          </w:tcPr>
          <w:p>
            <w:pPr>
              <w:jc w:val="center"/>
            </w:pPr>
            <w:r>
              <w:t>III</w:t>
            </w:r>
          </w:p>
        </w:tc>
        <w:tc>
          <w:tcPr>
            <w:tcW w:type="dxa" w:w="2160"/>
            <w:vAlign w:val="center"/>
          </w:tcPr>
          <w:p>
            <w:pPr>
              <w:jc w:val="center"/>
            </w:pPr>
            <w:r>
              <w:t>II</w:t>
            </w:r>
          </w:p>
        </w:tc>
        <w:tc>
          <w:tcPr>
            <w:tcW w:type="dxa" w:w="2160"/>
            <w:vAlign w:val="center"/>
          </w:tcPr>
          <w:p>
            <w:pPr>
              <w:jc w:val="center"/>
            </w:pPr>
            <w:r>
              <w:t>I</w:t>
            </w:r>
          </w:p>
        </w:tc>
      </w:tr>
      <w:tr>
        <w:tc>
          <w:tcPr>
            <w:tcW w:type="dxa" w:w="2160"/>
            <w:vAlign w:val="center"/>
          </w:tcPr>
          <w:p>
            <w:pPr>
              <w:jc w:val="center"/>
            </w:pPr>
            <w:r>
              <w:t>Amplitude do intervalo de confiança de 80% em torno da estimativa de tendência central</w:t>
            </w:r>
          </w:p>
        </w:tc>
        <w:tc>
          <w:tcPr>
            <w:tcW w:type="dxa" w:w="2160"/>
            <w:vAlign w:val="center"/>
          </w:tcPr>
          <w:p>
            <w:pPr>
              <w:jc w:val="center"/>
            </w:pPr>
            <w:r>
              <w:t>≤ 30%</w:t>
            </w:r>
          </w:p>
        </w:tc>
        <w:tc>
          <w:tcPr>
            <w:tcW w:type="dxa" w:w="2160"/>
            <w:vAlign w:val="center"/>
          </w:tcPr>
          <w:p>
            <w:pPr>
              <w:jc w:val="center"/>
            </w:pPr>
            <w:r>
              <w:t>≤ 40%</w:t>
            </w:r>
          </w:p>
        </w:tc>
        <w:tc>
          <w:tcPr>
            <w:tcW w:type="dxa" w:w="2160"/>
            <w:vAlign w:val="center"/>
          </w:tcPr>
          <w:p>
            <w:pPr>
              <w:jc w:val="center"/>
            </w:pPr>
            <w:r>
              <w:t>≤ 50%</w:t>
            </w:r>
          </w:p>
        </w:tc>
      </w:tr>
      <w:tr>
        <w:tc>
          <w:tcPr>
            <w:tcW w:type="dxa" w:w="2160"/>
            <w:vAlign w:val="center"/>
          </w:tcPr>
          <w:p>
            <w:pPr>
              <w:jc w:val="center"/>
            </w:pPr>
            <w:r/>
          </w:p>
        </w:tc>
        <w:tc>
          <w:tcPr>
            <w:tcW w:type="dxa" w:w="2160"/>
            <w:vAlign w:val="center"/>
          </w:tcPr>
          <w:p>
            <w:pPr>
              <w:jc w:val="center"/>
            </w:pPr>
            <w:r/>
          </w:p>
        </w:tc>
        <w:tc>
          <w:tcPr>
            <w:tcW w:type="dxa" w:w="2160"/>
            <w:vAlign w:val="center"/>
          </w:tcPr>
          <w:p>
            <w:pPr>
              <w:jc w:val="center"/>
            </w:pPr>
            <w:r>
              <w:t>Amplitude do intervalo de confiança:</w:t>
            </w:r>
          </w:p>
        </w:tc>
        <w:tc>
          <w:tcPr>
            <w:tcW w:type="dxa" w:w="2160"/>
            <w:vAlign w:val="center"/>
          </w:tcPr>
          <w:p>
            <w:pPr>
              <w:jc w:val="center"/>
            </w:pPr>
            <w:r>
              <w:t>10.14%</w:t>
            </w:r>
          </w:p>
        </w:tc>
      </w:tr>
      <w:tr>
        <w:tc>
          <w:tcPr>
            <w:tcW w:type="dxa" w:w="2160"/>
            <w:vAlign w:val="center"/>
          </w:tcPr>
          <w:p>
            <w:pPr>
              <w:jc w:val="center"/>
            </w:pPr>
            <w:r/>
          </w:p>
        </w:tc>
        <w:tc>
          <w:tcPr>
            <w:tcW w:type="dxa" w:w="2160"/>
            <w:vAlign w:val="center"/>
          </w:tcPr>
          <w:p>
            <w:pPr>
              <w:jc w:val="center"/>
            </w:pPr>
            <w:r/>
          </w:p>
        </w:tc>
        <w:tc>
          <w:tcPr>
            <w:tcW w:type="dxa" w:w="2160"/>
            <w:vAlign w:val="center"/>
          </w:tcPr>
          <w:p>
            <w:pPr>
              <w:jc w:val="center"/>
            </w:pPr>
            <w:r>
              <w:t>Grau de precisão:</w:t>
            </w:r>
          </w:p>
        </w:tc>
        <w:tc>
          <w:tcPr>
            <w:tcW w:type="dxa" w:w="2160"/>
            <w:vAlign w:val="center"/>
          </w:tcPr>
          <w:p>
            <w:pPr>
              <w:jc w:val="center"/>
            </w:pPr>
            <w:r>
              <w:t>III</w:t>
            </w:r>
          </w:p>
        </w:tc>
      </w:tr>
    </w:tbl>
    <w:p>
      <w:pPr>
        <w:pStyle w:val="Heading1"/>
      </w:pPr>
      <w:r>
        <w:t>AVALIAÇÃO DO IMÓVEL</w:t>
      </w:r>
    </w:p>
    <w:p>
      <w:r>
        <w:t>A metodologia avaliatória está bastante vinculada ao estudo comparativo dos valores e, nesse sentido, considerando-se um lote urbano, a pesquisa imobiliária foi direcionada para esta situação, buscando-se informações em anúncios classificados dos principais sites, consultas a corretores especializados nos respectivos mercados e diretamente no local, percorrendo-se a vizinhança a procura de área livres expostas à venda.</w:t>
        <w:br/>
      </w:r>
    </w:p>
    <w:p>
      <w:r>
        <w:t>Para a perfeita compreensão e possibilidade de identificar a lei de formação dos preços de terrenos, a abrangência da pesquisa foi estendida a outras regiões, tomando-se cuidado com as devidas correções. Na montagem do modelo de regressão foram analisados atributos pré-escolhidos e que possuem influência sobre a formação de preços na região.</w:t>
        <w:br/>
      </w:r>
    </w:p>
    <w:p>
      <w:r>
        <w:t>Descrição das variáveis:</w:t>
      </w:r>
    </w:p>
    <w:p/>
    <w:tbl>
      <w:tblPr>
        <w:tblW w:w="0" w:type="auto"/>
        <w:tblInd w:w="10" w:type="dxa"/>
        <w:tblLayout w:type="fixed"/>
        <w:tblCellMar>
          <w:left w:w="10" w:type="dxa"/>
          <w:right w:w="10" w:type="dxa"/>
        </w:tblCellMar>
        <w:tblLook w:val="0000" w:firstRow="0" w:lastRow="0" w:firstColumn="0" w:lastColumn="0" w:noHBand="0" w:noVBand="0"/>
      </w:tblPr>
      <w:tblGrid>
        <w:gridCol w:w="6096"/>
        <w:gridCol w:w="3118"/>
      </w:tblGrid>
      <w:tr w:rsidR="0037502F" w14:paraId="632D63E6" w14:textId="77777777">
        <w:trPr>
          <w:trHeight w:val="214"/>
        </w:trPr>
        <w:tc>
          <w:tcPr>
            <w:tcW w:w="9214" w:type="dxa"/>
            <w:gridSpan w:val="2"/>
            <w:tcBorders>
              <w:top w:val="nil"/>
              <w:left w:val="nil"/>
              <w:bottom w:val="single" w:sz="2" w:space="0" w:color="auto"/>
              <w:right w:val="nil"/>
            </w:tcBorders>
          </w:tcPr>
          <w:p w14:paraId="1CE6F40D" w14:textId="77777777" w:rsidR="0037502F" w:rsidRDefault="00C00063">
            <w:pPr>
              <w:rPr>
                <w:kern w:val="1"/>
              </w:rPr>
            </w:pPr>
            <w:r>
              <w:rPr>
                <w:b/>
                <w:bCs/>
                <w:color w:val="000000"/>
                <w:kern w:val="1"/>
              </w:rPr>
              <w:lastRenderedPageBreak/>
              <w:t>X</w:t>
            </w:r>
            <w:r>
              <w:rPr>
                <w:b/>
                <w:bCs/>
                <w:color w:val="000000"/>
                <w:kern w:val="1"/>
                <w:vertAlign w:val="subscript"/>
              </w:rPr>
              <w:t xml:space="preserve">1 </w:t>
            </w:r>
            <w:r>
              <w:rPr>
                <w:b/>
                <w:bCs/>
                <w:color w:val="000000"/>
                <w:kern w:val="1"/>
              </w:rPr>
              <w:t>Área</w:t>
            </w:r>
          </w:p>
        </w:tc>
      </w:tr>
      <w:tr w:rsidR="0037502F" w14:paraId="10B963DD" w14:textId="77777777">
        <w:tc>
          <w:tcPr>
            <w:tcW w:w="6096" w:type="dxa"/>
            <w:tcBorders>
              <w:top w:val="single" w:sz="2" w:space="0" w:color="auto"/>
              <w:left w:val="nil"/>
              <w:bottom w:val="nil"/>
              <w:right w:val="nil"/>
            </w:tcBorders>
          </w:tcPr>
          <w:p w14:paraId="5F5E4BD7" w14:textId="77777777" w:rsidR="0037502F" w:rsidRDefault="0037502F">
            <w:pPr>
              <w:rPr>
                <w:color w:val="000000"/>
                <w:kern w:val="1"/>
                <w:sz w:val="6"/>
                <w:szCs w:val="6"/>
              </w:rPr>
            </w:pPr>
          </w:p>
          <w:p w14:paraId="3F90566A" w14:textId="77777777" w:rsidR="0037502F" w:rsidRDefault="00C00063">
            <w:pPr>
              <w:rPr>
                <w:kern w:val="1"/>
              </w:rPr>
            </w:pPr>
            <w:r>
              <w:rPr>
                <w:color w:val="000000"/>
                <w:kern w:val="1"/>
                <w:sz w:val="20"/>
                <w:szCs w:val="20"/>
              </w:rPr>
              <w:t>Área em metros quadrados do terreno.</w:t>
            </w:r>
          </w:p>
          <w:p w14:paraId="1F4FFC26" w14:textId="77777777" w:rsidR="0037502F" w:rsidRDefault="00C00063">
            <w:pPr>
              <w:rPr>
                <w:kern w:val="1"/>
              </w:rPr>
            </w:pPr>
            <w:r>
              <w:rPr>
                <w:color w:val="000000"/>
                <w:kern w:val="1"/>
                <w:sz w:val="20"/>
                <w:szCs w:val="20"/>
              </w:rPr>
              <w:t>Tipo: Quantitativa</w:t>
            </w:r>
          </w:p>
          <w:p w14:paraId="5A88F6E6" w14:textId="77777777" w:rsidR="0037502F" w:rsidRDefault="00C00063">
            <w:pPr>
              <w:rPr>
                <w:kern w:val="1"/>
              </w:rPr>
            </w:pPr>
            <w:r>
              <w:rPr>
                <w:color w:val="000000"/>
                <w:kern w:val="1"/>
                <w:sz w:val="20"/>
                <w:szCs w:val="20"/>
              </w:rPr>
              <w:t>Amplitude: 300,00 a 1080,00</w:t>
            </w:r>
          </w:p>
          <w:p w14:paraId="5374BF21" w14:textId="77777777" w:rsidR="0037502F" w:rsidRDefault="00C00063">
            <w:pPr>
              <w:rPr>
                <w:kern w:val="1"/>
              </w:rPr>
            </w:pPr>
            <w:r>
              <w:rPr>
                <w:color w:val="000000"/>
                <w:kern w:val="1"/>
                <w:sz w:val="20"/>
                <w:szCs w:val="20"/>
              </w:rPr>
              <w:t>Impacto esperado na dependente: Negativo</w:t>
            </w:r>
          </w:p>
          <w:p w14:paraId="40D52C35" w14:textId="77777777" w:rsidR="0037502F" w:rsidRDefault="00C00063">
            <w:pPr>
              <w:rPr>
                <w:kern w:val="1"/>
              </w:rPr>
            </w:pPr>
            <w:r>
              <w:rPr>
                <w:color w:val="000000"/>
                <w:kern w:val="1"/>
                <w:sz w:val="20"/>
                <w:szCs w:val="20"/>
              </w:rPr>
              <w:t xml:space="preserve">10% da amplitude na média: -4,37 % na estimativa </w:t>
            </w:r>
          </w:p>
          <w:p w14:paraId="2DB70613" w14:textId="77777777" w:rsidR="0037502F" w:rsidRDefault="0037502F">
            <w:pPr>
              <w:rPr>
                <w:kern w:val="1"/>
              </w:rPr>
            </w:pPr>
          </w:p>
          <w:p w14:paraId="3F87EBEF" w14:textId="77777777" w:rsidR="00816877" w:rsidRDefault="00816877">
            <w:pPr>
              <w:rPr>
                <w:kern w:val="1"/>
              </w:rPr>
            </w:pPr>
          </w:p>
          <w:p w14:paraId="4D0DB137" w14:textId="6170CD7C" w:rsidR="00816877" w:rsidRDefault="00816877">
            <w:pPr>
              <w:rPr>
                <w:kern w:val="1"/>
              </w:rPr>
            </w:pPr>
          </w:p>
        </w:tc>
        <w:tc>
          <w:tcPr>
            <w:tcW w:w="3118" w:type="dxa"/>
            <w:tcBorders>
              <w:top w:val="single" w:sz="2" w:space="0" w:color="auto"/>
              <w:left w:val="nil"/>
              <w:bottom w:val="nil"/>
              <w:right w:val="nil"/>
            </w:tcBorders>
          </w:tcPr>
          <w:p w14:paraId="21545B28" w14:textId="77777777" w:rsidR="0037502F" w:rsidRDefault="0037502F">
            <w:pPr>
              <w:rPr>
                <w:color w:val="000000"/>
                <w:kern w:val="1"/>
                <w:sz w:val="6"/>
                <w:szCs w:val="6"/>
              </w:rPr>
            </w:pPr>
          </w:p>
          <w:p w14:paraId="3C39CEA5" w14:textId="1792F7EA" w:rsidR="0037502F" w:rsidRDefault="0037502F">
            <w:pPr>
              <w:rPr>
                <w:kern w:val="1"/>
              </w:rPr>
            </w:pPr>
          </w:p>
        </w:tc>
      </w:tr>
    </w:tbl>
    <w:p/>
    <w:tbl>
      <w:tblPr>
        <w:tblW w:w="0" w:type="auto"/>
        <w:tblInd w:w="10" w:type="dxa"/>
        <w:tblLayout w:type="fixed"/>
        <w:tblCellMar>
          <w:left w:w="10" w:type="dxa"/>
          <w:right w:w="10" w:type="dxa"/>
        </w:tblCellMar>
        <w:tblLook w:val="0000" w:firstRow="0" w:lastRow="0" w:firstColumn="0" w:lastColumn="0" w:noHBand="0" w:noVBand="0"/>
      </w:tblPr>
      <w:tblGrid>
        <w:gridCol w:w="6096"/>
        <w:gridCol w:w="3118"/>
      </w:tblGrid>
      <w:tr w:rsidR="0037502F" w14:paraId="1AC8E5A6" w14:textId="77777777">
        <w:trPr>
          <w:trHeight w:val="214"/>
        </w:trPr>
        <w:tc>
          <w:tcPr>
            <w:tcW w:w="9214" w:type="dxa"/>
            <w:gridSpan w:val="2"/>
            <w:tcBorders>
              <w:top w:val="nil"/>
              <w:left w:val="nil"/>
              <w:bottom w:val="single" w:sz="2" w:space="0" w:color="auto"/>
              <w:right w:val="nil"/>
            </w:tcBorders>
          </w:tcPr>
          <w:p w14:paraId="15FCB56D" w14:textId="77777777" w:rsidR="0037502F" w:rsidRDefault="00C00063">
            <w:pPr>
              <w:rPr>
                <w:kern w:val="1"/>
              </w:rPr>
            </w:pPr>
            <w:r>
              <w:rPr>
                <w:b/>
                <w:bCs/>
                <w:color w:val="000000"/>
                <w:kern w:val="1"/>
              </w:rPr>
              <w:t>Y VU</w:t>
            </w:r>
          </w:p>
        </w:tc>
      </w:tr>
      <w:tr w:rsidR="0037502F" w14:paraId="5AE907C2" w14:textId="77777777">
        <w:tc>
          <w:tcPr>
            <w:tcW w:w="6096" w:type="dxa"/>
            <w:tcBorders>
              <w:top w:val="single" w:sz="2" w:space="0" w:color="auto"/>
              <w:left w:val="nil"/>
              <w:bottom w:val="nil"/>
              <w:right w:val="nil"/>
            </w:tcBorders>
          </w:tcPr>
          <w:p w14:paraId="281EDCFC" w14:textId="77777777" w:rsidR="0037502F" w:rsidRDefault="0037502F">
            <w:pPr>
              <w:rPr>
                <w:color w:val="000000"/>
                <w:kern w:val="1"/>
                <w:sz w:val="6"/>
                <w:szCs w:val="6"/>
              </w:rPr>
            </w:pPr>
          </w:p>
          <w:p w14:paraId="4310748E" w14:textId="77777777" w:rsidR="0037502F" w:rsidRDefault="00C00063">
            <w:pPr>
              <w:rPr>
                <w:kern w:val="1"/>
              </w:rPr>
            </w:pPr>
            <w:r>
              <w:rPr>
                <w:color w:val="000000"/>
                <w:kern w:val="1"/>
                <w:sz w:val="20"/>
                <w:szCs w:val="20"/>
              </w:rPr>
              <w:t>Valor unitário (R$/m²)</w:t>
            </w:r>
          </w:p>
          <w:p w14:paraId="69545096" w14:textId="77777777" w:rsidR="0037502F" w:rsidRDefault="00C00063">
            <w:pPr>
              <w:rPr>
                <w:kern w:val="1"/>
              </w:rPr>
            </w:pPr>
            <w:r>
              <w:rPr>
                <w:color w:val="000000"/>
                <w:kern w:val="1"/>
                <w:sz w:val="20"/>
                <w:szCs w:val="20"/>
              </w:rPr>
              <w:t>Tipo: Dependente</w:t>
            </w:r>
          </w:p>
          <w:p w14:paraId="62A48500" w14:textId="77777777" w:rsidR="0037502F" w:rsidRDefault="00C00063">
            <w:pPr>
              <w:rPr>
                <w:kern w:val="1"/>
              </w:rPr>
            </w:pPr>
            <w:r>
              <w:rPr>
                <w:color w:val="000000"/>
                <w:kern w:val="1"/>
                <w:sz w:val="20"/>
                <w:szCs w:val="20"/>
              </w:rPr>
              <w:t>Amplitude: 305,56 a 550,00</w:t>
            </w:r>
          </w:p>
          <w:p w14:paraId="5C8F2A2A" w14:textId="77777777" w:rsidR="0037502F" w:rsidRDefault="0037502F">
            <w:pPr>
              <w:rPr>
                <w:kern w:val="1"/>
              </w:rPr>
            </w:pPr>
          </w:p>
          <w:p w14:paraId="7B516CF0" w14:textId="77777777" w:rsidR="0037502F" w:rsidRDefault="00C00063">
            <w:pPr>
              <w:rPr>
                <w:kern w:val="1"/>
              </w:rPr>
            </w:pPr>
            <w:r>
              <w:rPr>
                <w:color w:val="000000"/>
                <w:kern w:val="1"/>
                <w:sz w:val="20"/>
                <w:szCs w:val="20"/>
              </w:rPr>
              <w:t xml:space="preserve"> </w:t>
            </w:r>
          </w:p>
          <w:p w14:paraId="7DCD31AA" w14:textId="77777777" w:rsidR="0037502F" w:rsidRDefault="00C00063">
            <w:pPr>
              <w:rPr>
                <w:kern w:val="1"/>
              </w:rPr>
            </w:pPr>
            <w:proofErr w:type="spellStart"/>
            <w:r>
              <w:rPr>
                <w:color w:val="000000"/>
                <w:kern w:val="1"/>
                <w:sz w:val="20"/>
                <w:szCs w:val="20"/>
              </w:rPr>
              <w:t>Micronumerosidade</w:t>
            </w:r>
            <w:proofErr w:type="spellEnd"/>
            <w:r>
              <w:rPr>
                <w:color w:val="000000"/>
                <w:kern w:val="1"/>
                <w:sz w:val="20"/>
                <w:szCs w:val="20"/>
              </w:rPr>
              <w:t xml:space="preserve"> para o modelo: atendida.</w:t>
            </w:r>
          </w:p>
        </w:tc>
        <w:tc>
          <w:tcPr>
            <w:tcW w:w="3118" w:type="dxa"/>
            <w:tcBorders>
              <w:top w:val="single" w:sz="2" w:space="0" w:color="auto"/>
              <w:left w:val="nil"/>
              <w:bottom w:val="nil"/>
              <w:right w:val="nil"/>
            </w:tcBorders>
          </w:tcPr>
          <w:p w14:paraId="43F737F9" w14:textId="77777777" w:rsidR="0037502F" w:rsidRDefault="0037502F">
            <w:pPr>
              <w:rPr>
                <w:color w:val="000000"/>
                <w:kern w:val="1"/>
                <w:sz w:val="6"/>
                <w:szCs w:val="6"/>
              </w:rPr>
            </w:pPr>
          </w:p>
          <w:p w14:paraId="7E2B36FA" w14:textId="77777777" w:rsidR="0037502F" w:rsidRDefault="0037502F">
            <w:pPr>
              <w:rPr>
                <w:kern w:val="1"/>
              </w:rPr>
            </w:pPr>
          </w:p>
        </w:tc>
      </w:tr>
    </w:tbl>
    <w:p/>
    <w:tbl>
      <w:tblPr>
        <w:tblW w:w="0" w:type="auto"/>
        <w:tblInd w:w="10" w:type="dxa"/>
        <w:tblBorders>
          <w:bottom w:val="single" w:sz="4" w:space="0" w:color="auto"/>
        </w:tblBorders>
        <w:tblLayout w:type="fixed"/>
        <w:tblCellMar>
          <w:left w:w="10" w:type="dxa"/>
          <w:right w:w="10" w:type="dxa"/>
        </w:tblCellMar>
        <w:tblLook w:val="0000" w:firstRow="0" w:lastRow="0" w:firstColumn="0" w:lastColumn="0" w:noHBand="0" w:noVBand="0"/>
      </w:tblPr>
      <w:tblGrid>
        <w:gridCol w:w="1843"/>
        <w:gridCol w:w="992"/>
        <w:gridCol w:w="1418"/>
        <w:gridCol w:w="567"/>
        <w:gridCol w:w="1276"/>
        <w:gridCol w:w="708"/>
        <w:gridCol w:w="2410"/>
      </w:tblGrid>
      <w:tr w:rsidR="0037502F" w14:paraId="0EF08761" w14:textId="77777777">
        <w:tc>
          <w:tcPr>
            <w:tcW w:w="1843" w:type="dxa"/>
            <w:tcBorders>
              <w:top w:val="nil"/>
              <w:left w:val="nil"/>
              <w:bottom w:val="single" w:sz="4" w:space="0" w:color="DDDDDD"/>
              <w:right w:val="nil"/>
            </w:tcBorders>
          </w:tcPr>
          <w:p w14:paraId="02F48B9E" w14:textId="77777777" w:rsidR="0037502F" w:rsidRDefault="00C00063">
            <w:pPr>
              <w:spacing w:after="60"/>
              <w:rPr>
                <w:kern w:val="1"/>
                <w:sz w:val="20"/>
                <w:szCs w:val="20"/>
                <w:lang w:val="en-US"/>
              </w:rPr>
            </w:pPr>
            <w:r>
              <w:rPr>
                <w:color w:val="000000"/>
                <w:sz w:val="20"/>
                <w:szCs w:val="20"/>
                <w:lang w:val="en-US"/>
              </w:rPr>
              <w:t>X</w:t>
            </w:r>
            <w:r>
              <w:rPr>
                <w:color w:val="000000"/>
                <w:sz w:val="20"/>
                <w:szCs w:val="20"/>
                <w:vertAlign w:val="subscript"/>
                <w:lang w:val="en-US"/>
              </w:rPr>
              <w:t xml:space="preserve">1 </w:t>
            </w:r>
            <w:proofErr w:type="spellStart"/>
            <w:r>
              <w:rPr>
                <w:color w:val="000000"/>
                <w:sz w:val="20"/>
                <w:szCs w:val="20"/>
                <w:lang w:val="en-US"/>
              </w:rPr>
              <w:t>Área</w:t>
            </w:r>
            <w:proofErr w:type="spellEnd"/>
          </w:p>
        </w:tc>
        <w:tc>
          <w:tcPr>
            <w:tcW w:w="992" w:type="dxa"/>
            <w:tcBorders>
              <w:top w:val="nil"/>
              <w:left w:val="nil"/>
              <w:bottom w:val="single" w:sz="4" w:space="0" w:color="DDDDDD"/>
              <w:right w:val="nil"/>
            </w:tcBorders>
          </w:tcPr>
          <w:p w14:paraId="7A9CE0D8" w14:textId="77777777" w:rsidR="0037502F" w:rsidRDefault="00C00063">
            <w:pPr>
              <w:spacing w:after="60"/>
              <w:jc w:val="center"/>
              <w:rPr>
                <w:kern w:val="1"/>
                <w:sz w:val="20"/>
                <w:szCs w:val="20"/>
                <w:lang w:val="en-US"/>
              </w:rPr>
            </w:pPr>
            <w:r>
              <w:rPr>
                <w:color w:val="000000"/>
                <w:sz w:val="20"/>
                <w:szCs w:val="20"/>
                <w:lang w:val="en-US"/>
              </w:rPr>
              <w:t>1/x²</w:t>
            </w:r>
          </w:p>
        </w:tc>
        <w:tc>
          <w:tcPr>
            <w:tcW w:w="1418" w:type="dxa"/>
            <w:tcBorders>
              <w:top w:val="nil"/>
              <w:left w:val="nil"/>
              <w:bottom w:val="single" w:sz="4" w:space="0" w:color="DDDDDD"/>
              <w:right w:val="nil"/>
            </w:tcBorders>
          </w:tcPr>
          <w:p w14:paraId="6F6AC45E" w14:textId="77777777" w:rsidR="0037502F" w:rsidRDefault="00C00063">
            <w:pPr>
              <w:spacing w:after="60"/>
              <w:jc w:val="right"/>
              <w:rPr>
                <w:kern w:val="1"/>
                <w:sz w:val="20"/>
                <w:szCs w:val="20"/>
                <w:lang w:val="en-US"/>
              </w:rPr>
            </w:pPr>
            <w:r>
              <w:rPr>
                <w:color w:val="000000"/>
                <w:sz w:val="20"/>
                <w:szCs w:val="20"/>
                <w:lang w:val="en-US"/>
              </w:rPr>
              <w:t xml:space="preserve">  3,17</w:t>
            </w:r>
          </w:p>
        </w:tc>
        <w:tc>
          <w:tcPr>
            <w:tcW w:w="567" w:type="dxa"/>
            <w:tcBorders>
              <w:top w:val="nil"/>
              <w:left w:val="nil"/>
              <w:bottom w:val="single" w:sz="4" w:space="0" w:color="DDDDDD"/>
              <w:right w:val="nil"/>
            </w:tcBorders>
          </w:tcPr>
          <w:p w14:paraId="6DFC2B54" w14:textId="77777777" w:rsidR="0037502F" w:rsidRDefault="0037502F">
            <w:pPr>
              <w:spacing w:after="60"/>
              <w:jc w:val="right"/>
              <w:rPr>
                <w:color w:val="000000"/>
                <w:sz w:val="20"/>
                <w:szCs w:val="20"/>
                <w:lang w:val="en-US"/>
              </w:rPr>
            </w:pPr>
          </w:p>
        </w:tc>
        <w:tc>
          <w:tcPr>
            <w:tcW w:w="1276" w:type="dxa"/>
            <w:tcBorders>
              <w:top w:val="nil"/>
              <w:left w:val="nil"/>
              <w:bottom w:val="single" w:sz="4" w:space="0" w:color="DDDDDD"/>
              <w:right w:val="nil"/>
            </w:tcBorders>
          </w:tcPr>
          <w:p w14:paraId="7E1725FB" w14:textId="77777777" w:rsidR="0037502F" w:rsidRDefault="00C00063">
            <w:pPr>
              <w:spacing w:after="60"/>
              <w:jc w:val="right"/>
              <w:rPr>
                <w:kern w:val="1"/>
                <w:sz w:val="20"/>
                <w:szCs w:val="20"/>
                <w:lang w:val="en-US"/>
              </w:rPr>
            </w:pPr>
            <w:r>
              <w:rPr>
                <w:color w:val="000000"/>
                <w:sz w:val="20"/>
                <w:szCs w:val="20"/>
                <w:lang w:val="en-US"/>
              </w:rPr>
              <w:t>1,93</w:t>
            </w:r>
          </w:p>
        </w:tc>
        <w:tc>
          <w:tcPr>
            <w:tcW w:w="708" w:type="dxa"/>
            <w:tcBorders>
              <w:top w:val="nil"/>
              <w:left w:val="nil"/>
              <w:bottom w:val="single" w:sz="4" w:space="0" w:color="DDDDDD"/>
              <w:right w:val="nil"/>
            </w:tcBorders>
          </w:tcPr>
          <w:p w14:paraId="591900BF" w14:textId="77777777" w:rsidR="0037502F" w:rsidRDefault="0037502F">
            <w:pPr>
              <w:spacing w:after="60"/>
              <w:jc w:val="right"/>
              <w:rPr>
                <w:color w:val="000000"/>
                <w:sz w:val="20"/>
                <w:szCs w:val="20"/>
                <w:lang w:val="en-US"/>
              </w:rPr>
            </w:pPr>
          </w:p>
        </w:tc>
        <w:tc>
          <w:tcPr>
            <w:tcW w:w="2410" w:type="dxa"/>
            <w:tcBorders>
              <w:top w:val="nil"/>
              <w:left w:val="nil"/>
              <w:bottom w:val="single" w:sz="4" w:space="0" w:color="DDDDDD"/>
              <w:right w:val="nil"/>
            </w:tcBorders>
          </w:tcPr>
          <w:p w14:paraId="2F3E9540" w14:textId="77777777" w:rsidR="0037502F" w:rsidRDefault="00C00063">
            <w:pPr>
              <w:spacing w:after="60"/>
              <w:jc w:val="center"/>
              <w:rPr>
                <w:kern w:val="1"/>
                <w:sz w:val="20"/>
                <w:szCs w:val="20"/>
                <w:lang w:val="en-US"/>
              </w:rPr>
            </w:pPr>
            <w:r>
              <w:rPr>
                <w:color w:val="000000"/>
                <w:sz w:val="20"/>
                <w:szCs w:val="20"/>
                <w:lang w:val="en-US"/>
              </w:rPr>
              <w:t>0,57939</w:t>
            </w:r>
          </w:p>
        </w:tc>
      </w:tr>
    </w:tbl>
    <w:p/>
    <w:p>
      <w:r>
        <w:t>Características do Avaliando:</w:t>
      </w:r>
    </w:p>
    <w:p/>
    <w:tbl>
      <w:tblPr>
        <w:tblW w:w="0" w:type="auto"/>
        <w:tblInd w:w="-70" w:type="dxa"/>
        <w:tblLayout w:type="fixed"/>
        <w:tblCellMar>
          <w:left w:w="10" w:type="dxa"/>
          <w:right w:w="10" w:type="dxa"/>
        </w:tblCellMar>
        <w:tblLook w:val="0000" w:firstRow="0" w:lastRow="0" w:firstColumn="0" w:lastColumn="0" w:noHBand="0" w:noVBand="0"/>
      </w:tblPr>
      <w:tblGrid>
        <w:gridCol w:w="70"/>
        <w:gridCol w:w="1560"/>
        <w:gridCol w:w="1559"/>
        <w:gridCol w:w="2551"/>
        <w:gridCol w:w="567"/>
        <w:gridCol w:w="1560"/>
        <w:gridCol w:w="1559"/>
      </w:tblGrid>
      <w:tr w:rsidR="00000000">
        <w:tblPrEx>
          <w:tblCellMar>
            <w:top w:w="0" w:type="dxa"/>
            <w:bottom w:w="0" w:type="dxa"/>
          </w:tblCellMar>
        </w:tblPrEx>
        <w:trPr>
          <w:gridBefore w:val="1"/>
          <w:wBefore w:w="70" w:type="dxa"/>
        </w:trPr>
        <w:tc>
          <w:tcPr>
            <w:tcW w:w="1560"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rPr>
                <w:rFonts w:ascii="Arial" w:hAnsi="Arial" w:cs="Arial"/>
                <w:sz w:val="20"/>
                <w:szCs w:val="20"/>
              </w:rPr>
            </w:pPr>
          </w:p>
          <w:p w:rsidR="00000000" w:rsidRDefault="0082708B">
            <w:pPr>
              <w:widowControl w:val="0"/>
              <w:autoSpaceDE w:val="0"/>
              <w:autoSpaceDN w:val="0"/>
              <w:adjustRightInd w:val="0"/>
              <w:spacing w:after="0" w:line="240" w:lineRule="auto"/>
              <w:rPr>
                <w:rFonts w:ascii="Arial" w:hAnsi="Arial" w:cs="Arial"/>
                <w:kern w:val="1"/>
                <w:sz w:val="20"/>
                <w:szCs w:val="20"/>
              </w:rPr>
            </w:pPr>
            <w:r>
              <w:rPr>
                <w:rFonts w:ascii="Arial" w:hAnsi="Arial" w:cs="Arial"/>
                <w:sz w:val="20"/>
                <w:szCs w:val="20"/>
              </w:rPr>
              <w:t>Característica</w:t>
            </w:r>
          </w:p>
        </w:tc>
        <w:tc>
          <w:tcPr>
            <w:tcW w:w="1559"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ind w:right="57"/>
              <w:jc w:val="right"/>
              <w:rPr>
                <w:rFonts w:ascii="Arial" w:hAnsi="Arial" w:cs="Arial"/>
                <w:sz w:val="20"/>
                <w:szCs w:val="20"/>
              </w:rPr>
            </w:pPr>
            <w:r>
              <w:rPr>
                <w:rFonts w:ascii="Arial" w:hAnsi="Arial" w:cs="Arial"/>
                <w:sz w:val="20"/>
                <w:szCs w:val="20"/>
              </w:rPr>
              <w:t xml:space="preserve">Escala </w:t>
            </w:r>
          </w:p>
          <w:p w:rsidR="00000000" w:rsidRDefault="0082708B">
            <w:pPr>
              <w:widowControl w:val="0"/>
              <w:autoSpaceDE w:val="0"/>
              <w:autoSpaceDN w:val="0"/>
              <w:adjustRightInd w:val="0"/>
              <w:spacing w:after="0" w:line="240" w:lineRule="auto"/>
              <w:ind w:right="57"/>
              <w:jc w:val="right"/>
              <w:rPr>
                <w:rFonts w:ascii="Arial" w:hAnsi="Arial" w:cs="Arial"/>
                <w:kern w:val="1"/>
                <w:sz w:val="20"/>
                <w:szCs w:val="20"/>
              </w:rPr>
            </w:pPr>
            <w:r>
              <w:rPr>
                <w:rFonts w:ascii="Arial" w:hAnsi="Arial" w:cs="Arial"/>
                <w:sz w:val="20"/>
                <w:szCs w:val="20"/>
              </w:rPr>
              <w:t>Adotada</w:t>
            </w:r>
          </w:p>
        </w:tc>
        <w:tc>
          <w:tcPr>
            <w:tcW w:w="2551"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ind w:left="57"/>
              <w:rPr>
                <w:rFonts w:ascii="Arial" w:hAnsi="Arial" w:cs="Arial"/>
                <w:kern w:val="1"/>
                <w:sz w:val="20"/>
                <w:szCs w:val="20"/>
              </w:rPr>
            </w:pPr>
            <w:r>
              <w:rPr>
                <w:rFonts w:ascii="Arial" w:hAnsi="Arial" w:cs="Arial"/>
                <w:sz w:val="20"/>
                <w:szCs w:val="20"/>
              </w:rPr>
              <w:t>Justificativa para a Escala Adotada</w:t>
            </w:r>
          </w:p>
        </w:tc>
        <w:tc>
          <w:tcPr>
            <w:tcW w:w="567"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Extp. </w:t>
            </w:r>
          </w:p>
          <w:p w:rsidR="00000000" w:rsidRDefault="0082708B">
            <w:pPr>
              <w:widowControl w:val="0"/>
              <w:autoSpaceDE w:val="0"/>
              <w:autoSpaceDN w:val="0"/>
              <w:adjustRightInd w:val="0"/>
              <w:spacing w:after="0" w:line="240" w:lineRule="auto"/>
              <w:jc w:val="center"/>
              <w:rPr>
                <w:rFonts w:ascii="Arial" w:hAnsi="Arial" w:cs="Arial"/>
                <w:kern w:val="1"/>
                <w:sz w:val="20"/>
                <w:szCs w:val="20"/>
              </w:rPr>
            </w:pPr>
            <w:r>
              <w:rPr>
                <w:rFonts w:ascii="Arial" w:hAnsi="Arial" w:cs="Arial"/>
                <w:sz w:val="20"/>
                <w:szCs w:val="20"/>
              </w:rPr>
              <w:t>(%)</w:t>
            </w:r>
          </w:p>
        </w:tc>
        <w:tc>
          <w:tcPr>
            <w:tcW w:w="1560"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jc w:val="right"/>
              <w:rPr>
                <w:rFonts w:ascii="Arial" w:hAnsi="Arial" w:cs="Arial"/>
                <w:sz w:val="20"/>
                <w:szCs w:val="20"/>
              </w:rPr>
            </w:pPr>
            <w:r>
              <w:rPr>
                <w:rFonts w:ascii="Arial" w:hAnsi="Arial" w:cs="Arial"/>
                <w:sz w:val="20"/>
                <w:szCs w:val="20"/>
              </w:rPr>
              <w:t>Mínimo</w:t>
            </w:r>
          </w:p>
          <w:p w:rsidR="00000000" w:rsidRDefault="0082708B">
            <w:pPr>
              <w:widowControl w:val="0"/>
              <w:autoSpaceDE w:val="0"/>
              <w:autoSpaceDN w:val="0"/>
              <w:adjustRightInd w:val="0"/>
              <w:spacing w:after="0" w:line="240" w:lineRule="auto"/>
              <w:jc w:val="right"/>
              <w:rPr>
                <w:rFonts w:ascii="Arial" w:hAnsi="Arial" w:cs="Arial"/>
                <w:kern w:val="1"/>
                <w:sz w:val="20"/>
                <w:szCs w:val="20"/>
              </w:rPr>
            </w:pPr>
            <w:r>
              <w:rPr>
                <w:rFonts w:ascii="Arial" w:hAnsi="Arial" w:cs="Arial"/>
                <w:sz w:val="20"/>
                <w:szCs w:val="20"/>
              </w:rPr>
              <w:t>Amostra</w:t>
            </w:r>
          </w:p>
        </w:tc>
        <w:tc>
          <w:tcPr>
            <w:tcW w:w="1559" w:type="dxa"/>
            <w:tcBorders>
              <w:top w:val="nil"/>
              <w:left w:val="nil"/>
              <w:bottom w:val="single" w:sz="2" w:space="0" w:color="000000"/>
              <w:right w:val="nil"/>
            </w:tcBorders>
          </w:tcPr>
          <w:p w:rsidR="00000000" w:rsidRDefault="0082708B">
            <w:pPr>
              <w:widowControl w:val="0"/>
              <w:autoSpaceDE w:val="0"/>
              <w:autoSpaceDN w:val="0"/>
              <w:adjustRightInd w:val="0"/>
              <w:spacing w:after="0" w:line="240" w:lineRule="auto"/>
              <w:jc w:val="right"/>
              <w:rPr>
                <w:rFonts w:ascii="Arial" w:hAnsi="Arial" w:cs="Arial"/>
                <w:sz w:val="20"/>
                <w:szCs w:val="20"/>
              </w:rPr>
            </w:pPr>
            <w:r>
              <w:rPr>
                <w:rFonts w:ascii="Arial" w:hAnsi="Arial" w:cs="Arial"/>
                <w:sz w:val="20"/>
                <w:szCs w:val="20"/>
              </w:rPr>
              <w:t>Má</w:t>
            </w:r>
            <w:r>
              <w:rPr>
                <w:rFonts w:ascii="Arial" w:hAnsi="Arial" w:cs="Arial"/>
                <w:sz w:val="20"/>
                <w:szCs w:val="20"/>
              </w:rPr>
              <w:t xml:space="preserve">ximo </w:t>
            </w:r>
          </w:p>
          <w:p w:rsidR="00000000" w:rsidRDefault="0082708B">
            <w:pPr>
              <w:widowControl w:val="0"/>
              <w:autoSpaceDE w:val="0"/>
              <w:autoSpaceDN w:val="0"/>
              <w:adjustRightInd w:val="0"/>
              <w:spacing w:after="0" w:line="240" w:lineRule="auto"/>
              <w:jc w:val="right"/>
              <w:rPr>
                <w:rFonts w:ascii="Arial" w:hAnsi="Arial" w:cs="Arial"/>
                <w:kern w:val="1"/>
                <w:sz w:val="20"/>
                <w:szCs w:val="20"/>
              </w:rPr>
            </w:pPr>
            <w:r>
              <w:rPr>
                <w:rFonts w:ascii="Arial" w:hAnsi="Arial" w:cs="Arial"/>
                <w:sz w:val="20"/>
                <w:szCs w:val="20"/>
              </w:rPr>
              <w:t>Amostra</w:t>
            </w:r>
          </w:p>
        </w:tc>
      </w:tr>
      <w:tr w:rsidR="00000000">
        <w:tblPrEx>
          <w:tblBorders>
            <w:top w:val="single" w:sz="4" w:space="0" w:color="auto"/>
            <w:left w:val="single" w:sz="4" w:space="0" w:color="auto"/>
            <w:bottom w:val="single" w:sz="4" w:space="0" w:color="auto"/>
            <w:right w:val="single" w:sz="4" w:space="0" w:color="auto"/>
          </w:tblBorders>
          <w:tblCellMar>
            <w:top w:w="0" w:type="dxa"/>
            <w:left w:w="70" w:type="dxa"/>
            <w:bottom w:w="0" w:type="dxa"/>
            <w:right w:w="70" w:type="dxa"/>
          </w:tblCellMar>
        </w:tblPrEx>
        <w:trPr>
          <w:trHeight w:val="293"/>
        </w:trPr>
        <w:tc>
          <w:tcPr>
            <w:tcW w:w="1630" w:type="dxa"/>
            <w:gridSpan w:val="2"/>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Área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498,50 </w:t>
            </w:r>
          </w:p>
        </w:tc>
        <w:tc>
          <w:tcPr>
            <w:tcW w:w="2551"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567"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1560"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300,00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1.080,00 </w:t>
            </w:r>
          </w:p>
        </w:tc>
      </w:tr>
      <w:tr w:rsidR="00000000">
        <w:tblPrEx>
          <w:tblBorders>
            <w:top w:val="single" w:sz="4" w:space="0" w:color="auto"/>
            <w:left w:val="single" w:sz="4" w:space="0" w:color="auto"/>
            <w:bottom w:val="single" w:sz="4" w:space="0" w:color="auto"/>
            <w:right w:val="single" w:sz="4" w:space="0" w:color="auto"/>
          </w:tblBorders>
          <w:tblCellMar>
            <w:top w:w="0" w:type="dxa"/>
            <w:left w:w="70" w:type="dxa"/>
            <w:bottom w:w="0" w:type="dxa"/>
            <w:right w:w="70" w:type="dxa"/>
          </w:tblCellMar>
        </w:tblPrEx>
        <w:trPr>
          <w:trHeight w:val="293"/>
        </w:trPr>
        <w:tc>
          <w:tcPr>
            <w:tcW w:w="1630" w:type="dxa"/>
            <w:gridSpan w:val="2"/>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Topografia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1,00 </w:t>
            </w:r>
          </w:p>
        </w:tc>
        <w:tc>
          <w:tcPr>
            <w:tcW w:w="2551"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567"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1560"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0,00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1,00 </w:t>
            </w:r>
          </w:p>
        </w:tc>
      </w:tr>
      <w:tr w:rsidR="00000000">
        <w:tblPrEx>
          <w:tblBorders>
            <w:top w:val="single" w:sz="4" w:space="0" w:color="auto"/>
            <w:left w:val="single" w:sz="4" w:space="0" w:color="auto"/>
            <w:bottom w:val="single" w:sz="4" w:space="0" w:color="auto"/>
            <w:right w:val="single" w:sz="4" w:space="0" w:color="auto"/>
          </w:tblBorders>
          <w:tblCellMar>
            <w:top w:w="0" w:type="dxa"/>
            <w:left w:w="70" w:type="dxa"/>
            <w:bottom w:w="0" w:type="dxa"/>
            <w:right w:w="70" w:type="dxa"/>
          </w:tblCellMar>
        </w:tblPrEx>
        <w:trPr>
          <w:trHeight w:val="293"/>
        </w:trPr>
        <w:tc>
          <w:tcPr>
            <w:tcW w:w="1630" w:type="dxa"/>
            <w:gridSpan w:val="2"/>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b/>
                <w:bCs/>
                <w:kern w:val="1"/>
                <w:sz w:val="20"/>
                <w:szCs w:val="20"/>
              </w:rPr>
              <w:t xml:space="preserve">VU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b/>
                <w:bCs/>
                <w:kern w:val="1"/>
                <w:sz w:val="20"/>
                <w:szCs w:val="20"/>
              </w:rPr>
              <w:t xml:space="preserve">443,17 </w:t>
            </w:r>
          </w:p>
        </w:tc>
        <w:tc>
          <w:tcPr>
            <w:tcW w:w="2551"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567"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rPr>
                <w:rFonts w:ascii="Arial" w:hAnsi="Arial" w:cs="Arial"/>
                <w:kern w:val="1"/>
                <w:sz w:val="20"/>
                <w:szCs w:val="20"/>
              </w:rPr>
            </w:pPr>
            <w:r>
              <w:rPr>
                <w:rFonts w:ascii="Arial" w:hAnsi="Arial" w:cs="Arial"/>
                <w:kern w:val="1"/>
                <w:sz w:val="20"/>
                <w:szCs w:val="20"/>
              </w:rPr>
              <w:t xml:space="preserve"> </w:t>
            </w:r>
          </w:p>
        </w:tc>
        <w:tc>
          <w:tcPr>
            <w:tcW w:w="1560"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305,56 </w:t>
            </w:r>
          </w:p>
        </w:tc>
        <w:tc>
          <w:tcPr>
            <w:tcW w:w="1559" w:type="dxa"/>
            <w:tcBorders>
              <w:top w:val="nil"/>
              <w:left w:val="nil"/>
              <w:bottom w:val="single" w:sz="4" w:space="0" w:color="DDDDDD"/>
              <w:right w:val="nil"/>
            </w:tcBorders>
          </w:tcPr>
          <w:p w:rsidR="00000000" w:rsidRDefault="0082708B">
            <w:pPr>
              <w:widowControl w:val="0"/>
              <w:autoSpaceDE w:val="0"/>
              <w:autoSpaceDN w:val="0"/>
              <w:adjustRightInd w:val="0"/>
              <w:spacing w:before="40" w:after="40" w:line="276" w:lineRule="atLeast"/>
              <w:jc w:val="right"/>
              <w:rPr>
                <w:rFonts w:ascii="Arial" w:hAnsi="Arial" w:cs="Arial"/>
                <w:kern w:val="1"/>
                <w:sz w:val="20"/>
                <w:szCs w:val="20"/>
              </w:rPr>
            </w:pPr>
            <w:r>
              <w:rPr>
                <w:rFonts w:ascii="Arial" w:hAnsi="Arial" w:cs="Arial"/>
                <w:kern w:val="1"/>
                <w:sz w:val="20"/>
                <w:szCs w:val="20"/>
              </w:rPr>
              <w:t xml:space="preserve">550,00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