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2" w:firstLine="0"/>
        <w:jc w:val="center"/>
        <w:rPr>
          <w:color w:val="cc4125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cc4125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0"/>
          <w:szCs w:val="20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  <w:t xml:space="preserve">Name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  <w:t xml:space="preserve">Gender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  <w:t xml:space="preserve">Date of Birth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•</w:t>
        <w:tab/>
        <w:t xml:space="preserve">Marital status</w:t>
        <w:tab/>
        <w:t xml:space="preserve">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Ảnh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•</w:t>
        <w:tab/>
        <w:t xml:space="preserve">Phone No.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•</w:t>
        <w:tab/>
        <w:t xml:space="preserve">Email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cc4125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0"/>
          <w:szCs w:val="20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9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  <w:t xml:space="preserve"> Hanoi University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96" w:lineRule="auto"/>
        <w:ind w:left="720" w:firstLine="0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Manual testing course at WeTest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cc4125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0"/>
          <w:szCs w:val="20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•</w:t>
        <w:tab/>
        <w:t xml:space="preserve">IELTS score 6.0 issued by IDP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•</w:t>
        <w:tab/>
        <w:t xml:space="preserve">Toeic 875 points issued by IIG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9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•</w:t>
        <w:tab/>
        <w:t xml:space="preserve">Spoken/Written languages: Vietnamese, Fluent in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cc4125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0"/>
          <w:szCs w:val="20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  <w:t xml:space="preserve">Programming Language: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  <w:t xml:space="preserve">Programming Tool: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9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  <w:t xml:space="preserve">Others: Microsoft Word, Microsoft Excel, Microsoft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cc4125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9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96" w:lineRule="auto"/>
        <w:rPr>
          <w:color w:val="cc4125"/>
        </w:rPr>
      </w:pPr>
      <w:r w:rsidDel="00000000" w:rsidR="00000000" w:rsidRPr="00000000">
        <w:rPr>
          <w:rFonts w:ascii="Arial" w:cs="Arial" w:eastAsia="Arial" w:hAnsi="Arial"/>
          <w:b w:val="1"/>
          <w:color w:val="cc4125"/>
          <w:sz w:val="20"/>
          <w:szCs w:val="2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2021/10– 2022/01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Sizing: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Responsibility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96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96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Environments: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Web apps, IOS,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Jira, Google sheet,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2021/07– 2021/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Company: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Sizing: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Project Description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Responsibility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9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Jira, Google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2019/08 – 2022/01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Company: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Company 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Position: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QA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Responsibility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 that products meet quality and reliability requirements before they were released to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Lead failure investigation, conduct necessary analysis and perform corrective action for customer-related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Completed , tracked and managed all document associated with directed and implied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Represent quality department for product development projects or receiving audit from customer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19" w:right="131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yyezcRnd7OSCYkt+RJVs73qKeg==">CgMxLjA4AHIhMUlsazU1b1R4UlNESE5XM3F0RWhKUk5xT3RDZFZRZkdp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kcwhi</dc:creator>
</cp:coreProperties>
</file>