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2: Spoken Question Answering</w:t>
      </w:r>
    </w:p>
    <w:p>
      <w:pPr>
        <w:jc w:val="center"/>
      </w:pPr>
      <w:r>
        <w:rPr>
          <w:i/>
          <w:sz w:val="22"/>
        </w:rPr>
        <w:t>ASR → Retriever → LLM cascade   |   Spoken Language Processing</w:t>
      </w:r>
    </w:p>
    <w:p>
      <w:pPr>
        <w:jc w:val="center"/>
      </w:pPr>
      <w:r>
        <w:rPr>
          <w:sz w:val="22"/>
        </w:rPr>
        <w:t>Student ID: 2026XXXXXX</w:t>
      </w:r>
    </w:p>
    <w:p>
      <w:pPr>
        <w:pStyle w:val="Heading1"/>
      </w:pPr>
      <w:r>
        <w:t>1. System Overview</w:t>
      </w:r>
    </w:p>
    <w:p>
      <w:r>
        <w:rPr>
          <w:b w:val="0"/>
          <w:i w:val="0"/>
          <w:sz w:val="22"/>
        </w:rPr>
        <w:t>The system answers a spoken question over a corpus of 500 spoken documents using a three-stage cascade. (1) An ASR model transcribes every question and document once; transcripts are cached to disk. (2) A hybrid retriever ranks document transcripts against the question transcript and keeps the top-k. (3) A text LLM reads the top-k transcripts and produces a short answer. The reported document_ids are exactly the k documents placed in the LLM prompt.</w:t>
      </w:r>
    </w:p>
    <w:p>
      <w:r>
        <w:rPr>
          <w:b w:val="0"/>
          <w:i/>
          <w:sz w:val="22"/>
        </w:rPr>
        <w:t>Pipeline:  wav → ASR → transcript → hybrid retrieval (BM25 + dense) → top-4 docs → Qwen2.5-7B (RAG) → short answer.</w:t>
      </w:r>
    </w:p>
    <w:p>
      <w:pPr>
        <w:pStyle w:val="Heading1"/>
      </w:pPr>
      <w:r>
        <w:t>2. Models and Parameter Budget</w:t>
      </w:r>
    </w:p>
    <w:p>
      <w:r>
        <w:rPr>
          <w:b w:val="0"/>
          <w:i w:val="0"/>
          <w:sz w:val="22"/>
        </w:rPr>
        <w:t>All components are open-weight; no fine-tuning is used (prompting and in-context examples only). The total stays within the 10B 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Stage</w:t>
            </w:r>
          </w:p>
        </w:tc>
        <w:tc>
          <w:tcPr>
            <w:tcW w:type="dxa" w:w="2880"/>
          </w:tcPr>
          <w:p>
            <w:r/>
            <w:r>
              <w:rPr>
                <w:b/>
                <w:sz w:val="20"/>
              </w:rPr>
              <w:t>Model</w:t>
            </w:r>
          </w:p>
        </w:tc>
        <w:tc>
          <w:tcPr>
            <w:tcW w:type="dxa" w:w="2880"/>
          </w:tcPr>
          <w:p>
            <w:r/>
            <w:r>
              <w:rPr>
                <w:b/>
                <w:sz w:val="20"/>
              </w:rPr>
              <w:t>Params</w:t>
            </w:r>
          </w:p>
        </w:tc>
      </w:tr>
      <w:tr>
        <w:tc>
          <w:tcPr>
            <w:tcW w:type="dxa" w:w="2880"/>
          </w:tcPr>
          <w:p>
            <w:r/>
            <w:r>
              <w:rPr>
                <w:sz w:val="20"/>
              </w:rPr>
              <w:t>ASR</w:t>
            </w:r>
          </w:p>
        </w:tc>
        <w:tc>
          <w:tcPr>
            <w:tcW w:type="dxa" w:w="2880"/>
          </w:tcPr>
          <w:p>
            <w:r/>
            <w:r>
              <w:rPr>
                <w:sz w:val="20"/>
              </w:rPr>
              <w:t>faster-whisper large-v3 (int8_float16)</w:t>
            </w:r>
          </w:p>
        </w:tc>
        <w:tc>
          <w:tcPr>
            <w:tcW w:type="dxa" w:w="2880"/>
          </w:tcPr>
          <w:p>
            <w:r/>
            <w:r>
              <w:rPr>
                <w:sz w:val="20"/>
              </w:rPr>
              <w:t>1.55 B</w:t>
            </w:r>
          </w:p>
        </w:tc>
      </w:tr>
      <w:tr>
        <w:tc>
          <w:tcPr>
            <w:tcW w:type="dxa" w:w="2880"/>
          </w:tcPr>
          <w:p>
            <w:r/>
            <w:r>
              <w:rPr>
                <w:sz w:val="20"/>
              </w:rPr>
              <w:t>Retriever</w:t>
            </w:r>
          </w:p>
        </w:tc>
        <w:tc>
          <w:tcPr>
            <w:tcW w:type="dxa" w:w="2880"/>
          </w:tcPr>
          <w:p>
            <w:r/>
            <w:r>
              <w:rPr>
                <w:sz w:val="20"/>
              </w:rPr>
              <w:t>BM25 (lexical)</w:t>
            </w:r>
          </w:p>
        </w:tc>
        <w:tc>
          <w:tcPr>
            <w:tcW w:type="dxa" w:w="2880"/>
          </w:tcPr>
          <w:p>
            <w:r/>
            <w:r>
              <w:rPr>
                <w:sz w:val="20"/>
              </w:rPr>
              <w:t>0 B</w:t>
            </w:r>
          </w:p>
        </w:tc>
      </w:tr>
      <w:tr>
        <w:tc>
          <w:tcPr>
            <w:tcW w:type="dxa" w:w="2880"/>
          </w:tcPr>
          <w:p>
            <w:r/>
            <w:r>
              <w:rPr>
                <w:sz w:val="20"/>
              </w:rPr>
              <w:t>Retriever</w:t>
            </w:r>
          </w:p>
        </w:tc>
        <w:tc>
          <w:tcPr>
            <w:tcW w:type="dxa" w:w="2880"/>
          </w:tcPr>
          <w:p>
            <w:r/>
            <w:r>
              <w:rPr>
                <w:sz w:val="20"/>
              </w:rPr>
              <w:t>BAAI/bge-large-en-v1.5 (dense)</w:t>
            </w:r>
          </w:p>
        </w:tc>
        <w:tc>
          <w:tcPr>
            <w:tcW w:type="dxa" w:w="2880"/>
          </w:tcPr>
          <w:p>
            <w:r/>
            <w:r>
              <w:rPr>
                <w:sz w:val="20"/>
              </w:rPr>
              <w:t>0.335 B</w:t>
            </w:r>
          </w:p>
        </w:tc>
      </w:tr>
      <w:tr>
        <w:tc>
          <w:tcPr>
            <w:tcW w:type="dxa" w:w="2880"/>
          </w:tcPr>
          <w:p>
            <w:r/>
            <w:r>
              <w:rPr>
                <w:sz w:val="20"/>
              </w:rPr>
              <w:t>LLM</w:t>
            </w:r>
          </w:p>
        </w:tc>
        <w:tc>
          <w:tcPr>
            <w:tcW w:type="dxa" w:w="2880"/>
          </w:tcPr>
          <w:p>
            <w:r/>
            <w:r>
              <w:rPr>
                <w:sz w:val="20"/>
              </w:rPr>
              <w:t>Qwen/Qwen2.5-7B-Instruct (fp16)</w:t>
            </w:r>
          </w:p>
        </w:tc>
        <w:tc>
          <w:tcPr>
            <w:tcW w:type="dxa" w:w="2880"/>
          </w:tcPr>
          <w:p>
            <w:r/>
            <w:r>
              <w:rPr>
                <w:sz w:val="20"/>
              </w:rPr>
              <w:t>7.616 B</w:t>
            </w:r>
          </w:p>
        </w:tc>
      </w:tr>
      <w:tr>
        <w:tc>
          <w:tcPr>
            <w:tcW w:type="dxa" w:w="2880"/>
          </w:tcPr>
          <w:p>
            <w:r/>
            <w:r>
              <w:rPr>
                <w:sz w:val="20"/>
              </w:rPr>
              <w:t>Total</w:t>
            </w:r>
          </w:p>
        </w:tc>
        <w:tc>
          <w:tcPr>
            <w:tcW w:type="dxa" w:w="2880"/>
          </w:tcPr>
          <w:p>
            <w:r/>
            <w:r>
              <w:rPr>
                <w:sz w:val="20"/>
              </w:rPr>
            </w:r>
          </w:p>
        </w:tc>
        <w:tc>
          <w:tcPr>
            <w:tcW w:type="dxa" w:w="2880"/>
          </w:tcPr>
          <w:p>
            <w:r/>
            <w:r>
              <w:rPr>
                <w:sz w:val="20"/>
              </w:rPr>
              <w:t>9.50 B  (≤ 10 B)</w:t>
            </w:r>
          </w:p>
        </w:tc>
      </w:tr>
    </w:tbl>
    <w:p>
      <w:r>
        <w:rPr>
          <w:b w:val="0"/>
          <w:i w:val="0"/>
          <w:sz w:val="22"/>
        </w:rPr>
        <w:t>Stages run sequentially, so peak GPU memory is a single model; transcripts and embeddings are computed once. Hardware: a single Tesla V100-16GB per stage.</w:t>
      </w:r>
    </w:p>
    <w:p>
      <w:pPr>
        <w:pStyle w:val="Heading1"/>
      </w:pPr>
      <w:r>
        <w:t>3. Retrieval Strategy</w:t>
      </w:r>
    </w:p>
    <w:p>
      <w:r>
        <w:rPr>
          <w:b w:val="0"/>
          <w:i w:val="0"/>
          <w:sz w:val="22"/>
        </w:rPr>
        <w:t>Each document is ~40 s and each question ~6 s, transcribed with Whisper large-v3. The retriever combines a lexical and a dense signal:</w:t>
      </w:r>
    </w:p>
    <w:p>
      <w:pPr>
        <w:pStyle w:val="ListBullet"/>
      </w:pPr>
      <w:r>
        <w:t>BM25 (rank_bm25) over lowercased word tokens — strong on rare named entities, parameter-free.</w:t>
      </w:r>
    </w:p>
    <w:p>
      <w:pPr>
        <w:pStyle w:val="ListBullet"/>
      </w:pPr>
      <w:r>
        <w:t>Dense cosine similarity with bge-large-en-v1.5 (query prefix ‘Represent this sentence for searching relevant passages:’) — handles paraphrase and lexical mismatch.</w:t>
      </w:r>
    </w:p>
    <w:p>
      <w:r>
        <w:rPr>
          <w:b w:val="0"/>
          <w:i w:val="0"/>
          <w:sz w:val="22"/>
        </w:rPr>
        <w:t>Scores are min-max normalized per query and fused as 0.8·dense + 0.2·BM25. The weight and fusion method were tuned on the dev split (gold labels). Dense dominates, but a small BM25 contribution helps; weighted fusion beat Reciprocal Rank Fusion across all k.</w:t>
      </w:r>
    </w:p>
    <w:p>
      <w:r>
        <w:rPr>
          <w:b/>
          <w:i w:val="0"/>
          <w:sz w:val="22"/>
        </w:rPr>
        <w:t>Retrieval comparison on dev (Recall@k, gold document present in top-k):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Method</w:t>
            </w:r>
          </w:p>
        </w:tc>
        <w:tc>
          <w:tcPr>
            <w:tcW w:type="dxa" w:w="1728"/>
          </w:tcPr>
          <w:p>
            <w:r/>
            <w:r>
              <w:rPr>
                <w:b/>
                <w:sz w:val="20"/>
              </w:rPr>
              <w:t>R@1</w:t>
            </w:r>
          </w:p>
        </w:tc>
        <w:tc>
          <w:tcPr>
            <w:tcW w:type="dxa" w:w="1728"/>
          </w:tcPr>
          <w:p>
            <w:r/>
            <w:r>
              <w:rPr>
                <w:b/>
                <w:sz w:val="20"/>
              </w:rPr>
              <w:t>R@3</w:t>
            </w:r>
          </w:p>
        </w:tc>
        <w:tc>
          <w:tcPr>
            <w:tcW w:type="dxa" w:w="1728"/>
          </w:tcPr>
          <w:p>
            <w:r/>
            <w:r>
              <w:rPr>
                <w:b/>
                <w:sz w:val="20"/>
              </w:rPr>
              <w:t>R@4</w:t>
            </w:r>
          </w:p>
        </w:tc>
        <w:tc>
          <w:tcPr>
            <w:tcW w:type="dxa" w:w="1728"/>
          </w:tcPr>
          <w:p>
            <w:r/>
            <w:r>
              <w:rPr>
                <w:b/>
                <w:sz w:val="20"/>
              </w:rPr>
              <w:t>R@5</w:t>
            </w:r>
          </w:p>
        </w:tc>
      </w:tr>
      <w:tr>
        <w:tc>
          <w:tcPr>
            <w:tcW w:type="dxa" w:w="1728"/>
          </w:tcPr>
          <w:p>
            <w:r/>
            <w:r>
              <w:rPr>
                <w:sz w:val="20"/>
              </w:rPr>
              <w:t>BM25 only</w:t>
            </w:r>
          </w:p>
        </w:tc>
        <w:tc>
          <w:tcPr>
            <w:tcW w:type="dxa" w:w="1728"/>
          </w:tcPr>
          <w:p>
            <w:r/>
            <w:r>
              <w:rPr>
                <w:sz w:val="20"/>
              </w:rPr>
              <w:t>0.403</w:t>
            </w:r>
          </w:p>
        </w:tc>
        <w:tc>
          <w:tcPr>
            <w:tcW w:type="dxa" w:w="1728"/>
          </w:tcPr>
          <w:p>
            <w:r/>
            <w:r>
              <w:rPr>
                <w:sz w:val="20"/>
              </w:rPr>
              <w:t>0.577</w:t>
            </w:r>
          </w:p>
        </w:tc>
        <w:tc>
          <w:tcPr>
            <w:tcW w:type="dxa" w:w="1728"/>
          </w:tcPr>
          <w:p>
            <w:r/>
            <w:r>
              <w:rPr>
                <w:sz w:val="20"/>
              </w:rPr>
              <w:t>0.617</w:t>
            </w:r>
          </w:p>
        </w:tc>
        <w:tc>
          <w:tcPr>
            <w:tcW w:type="dxa" w:w="1728"/>
          </w:tcPr>
          <w:p>
            <w:r/>
            <w:r>
              <w:rPr>
                <w:sz w:val="20"/>
              </w:rPr>
              <w:t>0.653</w:t>
            </w:r>
          </w:p>
        </w:tc>
      </w:tr>
      <w:tr>
        <w:tc>
          <w:tcPr>
            <w:tcW w:type="dxa" w:w="1728"/>
          </w:tcPr>
          <w:p>
            <w:r/>
            <w:r>
              <w:rPr>
                <w:sz w:val="20"/>
              </w:rPr>
              <w:t>Dense only</w:t>
            </w:r>
          </w:p>
        </w:tc>
        <w:tc>
          <w:tcPr>
            <w:tcW w:type="dxa" w:w="1728"/>
          </w:tcPr>
          <w:p>
            <w:r/>
            <w:r>
              <w:rPr>
                <w:sz w:val="20"/>
              </w:rPr>
              <w:t>0.583</w:t>
            </w:r>
          </w:p>
        </w:tc>
        <w:tc>
          <w:tcPr>
            <w:tcW w:type="dxa" w:w="1728"/>
          </w:tcPr>
          <w:p>
            <w:r/>
            <w:r>
              <w:rPr>
                <w:sz w:val="20"/>
              </w:rPr>
              <w:t>0.773</w:t>
            </w:r>
          </w:p>
        </w:tc>
        <w:tc>
          <w:tcPr>
            <w:tcW w:type="dxa" w:w="1728"/>
          </w:tcPr>
          <w:p>
            <w:r/>
            <w:r>
              <w:rPr>
                <w:sz w:val="20"/>
              </w:rPr>
              <w:t>0.820</w:t>
            </w:r>
          </w:p>
        </w:tc>
        <w:tc>
          <w:tcPr>
            <w:tcW w:type="dxa" w:w="1728"/>
          </w:tcPr>
          <w:p>
            <w:r/>
            <w:r>
              <w:rPr>
                <w:sz w:val="20"/>
              </w:rPr>
              <w:t>0.850</w:t>
            </w:r>
          </w:p>
        </w:tc>
      </w:tr>
      <w:tr>
        <w:tc>
          <w:tcPr>
            <w:tcW w:type="dxa" w:w="1728"/>
          </w:tcPr>
          <w:p>
            <w:r/>
            <w:r>
              <w:rPr>
                <w:sz w:val="20"/>
              </w:rPr>
              <w:t>RRF fusion</w:t>
            </w:r>
          </w:p>
        </w:tc>
        <w:tc>
          <w:tcPr>
            <w:tcW w:type="dxa" w:w="1728"/>
          </w:tcPr>
          <w:p>
            <w:r/>
            <w:r>
              <w:rPr>
                <w:sz w:val="20"/>
              </w:rPr>
              <w:t>0.533</w:t>
            </w:r>
          </w:p>
        </w:tc>
        <w:tc>
          <w:tcPr>
            <w:tcW w:type="dxa" w:w="1728"/>
          </w:tcPr>
          <w:p>
            <w:r/>
            <w:r>
              <w:rPr>
                <w:sz w:val="20"/>
              </w:rPr>
              <w:t>0.837</w:t>
            </w:r>
          </w:p>
        </w:tc>
        <w:tc>
          <w:tcPr>
            <w:tcW w:type="dxa" w:w="1728"/>
          </w:tcPr>
          <w:p>
            <w:r/>
            <w:r>
              <w:rPr>
                <w:sz w:val="20"/>
              </w:rPr>
              <w:t>0.873</w:t>
            </w:r>
          </w:p>
        </w:tc>
        <w:tc>
          <w:tcPr>
            <w:tcW w:type="dxa" w:w="1728"/>
          </w:tcPr>
          <w:p>
            <w:r/>
            <w:r>
              <w:rPr>
                <w:sz w:val="20"/>
              </w:rPr>
              <w:t>0.893</w:t>
            </w:r>
          </w:p>
        </w:tc>
      </w:tr>
      <w:tr>
        <w:tc>
          <w:tcPr>
            <w:tcW w:type="dxa" w:w="1728"/>
          </w:tcPr>
          <w:p>
            <w:r/>
            <w:r>
              <w:rPr>
                <w:sz w:val="20"/>
              </w:rPr>
              <w:t>Weighted (dense=0.8)</w:t>
            </w:r>
          </w:p>
        </w:tc>
        <w:tc>
          <w:tcPr>
            <w:tcW w:type="dxa" w:w="1728"/>
          </w:tcPr>
          <w:p>
            <w:r/>
            <w:r>
              <w:rPr>
                <w:sz w:val="20"/>
              </w:rPr>
              <w:t>0.620</w:t>
            </w:r>
          </w:p>
        </w:tc>
        <w:tc>
          <w:tcPr>
            <w:tcW w:type="dxa" w:w="1728"/>
          </w:tcPr>
          <w:p>
            <w:r/>
            <w:r>
              <w:rPr>
                <w:sz w:val="20"/>
              </w:rPr>
              <w:t>0.857</w:t>
            </w:r>
          </w:p>
        </w:tc>
        <w:tc>
          <w:tcPr>
            <w:tcW w:type="dxa" w:w="1728"/>
          </w:tcPr>
          <w:p>
            <w:r/>
            <w:r>
              <w:rPr>
                <w:sz w:val="20"/>
              </w:rPr>
              <w:t>0.900</w:t>
            </w:r>
          </w:p>
        </w:tc>
        <w:tc>
          <w:tcPr>
            <w:tcW w:type="dxa" w:w="1728"/>
          </w:tcPr>
          <w:p>
            <w:r/>
            <w:r>
              <w:rPr>
                <w:sz w:val="20"/>
              </w:rPr>
              <w:t>0.913</w:t>
            </w:r>
          </w:p>
        </w:tc>
      </w:tr>
    </w:tbl>
    <w:p>
      <w:r>
        <w:rPr>
          <w:b w:val="0"/>
          <w:i w:val="0"/>
          <w:sz w:val="22"/>
        </w:rPr>
        <w:t>The chosen weighted fusion reaches Recall@4 = 0.90 and Recall@10 = 0.94. k = 4 documents are passed to the LLM (the recommended 3–5 range): k=4 (0.643) outscored k=5 (0.630) on dev because extra documents add distractors.</w:t>
      </w:r>
    </w:p>
    <w:p>
      <w:pPr>
        <w:pStyle w:val="Heading1"/>
      </w:pPr>
      <w:r>
        <w:t>4. Prompt Design</w:t>
      </w:r>
    </w:p>
    <w:p>
      <w:r>
        <w:rPr>
          <w:b w:val="0"/>
          <w:i w:val="0"/>
          <w:sz w:val="22"/>
        </w:rPr>
        <w:t>The LLM receives a system instruction, one in-context example fixing the output format, and the user turn containing the numbered top-4 transcripts followed by the question. Decoding is greedy with max_new_tokens=32.</w:t>
      </w:r>
    </w:p>
    <w:p>
      <w:pPr>
        <w:pStyle w:val="ListBullet"/>
      </w:pPr>
      <w:r>
        <w:t>System: answer with the shortest correct span (entity / name / number / phrase), lowercase, no explanation or full sentence; if documents conflict, pick the most relevant; always commit to a best guess.</w:t>
      </w:r>
    </w:p>
    <w:p>
      <w:pPr>
        <w:pStyle w:val="ListBullet"/>
      </w:pPr>
      <w:r>
        <w:t>One-shot example: a short passage + question + the single-word answer ‘paris’, to lock the terse output style.</w:t>
      </w:r>
    </w:p>
    <w:p>
      <w:pPr>
        <w:pStyle w:val="ListBullet"/>
      </w:pPr>
      <w:r>
        <w:t>Post-processing: take the first line; strip quotes, trailing period, and hedging prefixes (‘guess:’, ‘answer:’); lowercase.</w:t>
      </w:r>
    </w:p>
    <w:p>
      <w:r>
        <w:rPr>
          <w:b w:val="0"/>
          <w:i w:val="0"/>
          <w:sz w:val="22"/>
        </w:rPr>
        <w:t>A stronger ‘select exactly one document first’ system prompt with two examples was tested and scored lower (0.60), so the simpler prompt is kept.</w:t>
      </w:r>
    </w:p>
    <w:p>
      <w:pPr>
        <w:pStyle w:val="Heading1"/>
      </w:pPr>
      <w:r>
        <w:t>5. Results</w:t>
      </w:r>
    </w:p>
    <w:p>
      <w:r>
        <w:rPr>
          <w:b w:val="0"/>
          <w:i w:val="0"/>
          <w:sz w:val="22"/>
        </w:rPr>
        <w:t>Because the grading rule accepts semantically equivalent answers, two complementary scorers are reported on the 300 dev questions. A strict string-match proxy (lowercase, remove punctuation/articles, exact or substring match) gives a lower bound; an LLM judge (the same Qwen2.5-7B, used only as an evaluation aid) approximates the semantic-equivalence grading more closely.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Scorer</w:t>
            </w:r>
          </w:p>
        </w:tc>
        <w:tc>
          <w:tcPr>
            <w:tcW w:type="dxa" w:w="2160"/>
          </w:tcPr>
          <w:p>
            <w:r/>
            <w:r>
              <w:rPr>
                <w:b/>
                <w:sz w:val="20"/>
              </w:rPr>
              <w:t>Correct / 300</w:t>
            </w:r>
          </w:p>
        </w:tc>
        <w:tc>
          <w:tcPr>
            <w:tcW w:type="dxa" w:w="2160"/>
          </w:tcPr>
          <w:p>
            <w:r/>
            <w:r>
              <w:rPr>
                <w:b/>
                <w:sz w:val="20"/>
              </w:rPr>
              <w:t>Accuracy</w:t>
            </w:r>
          </w:p>
        </w:tc>
        <w:tc>
          <w:tcPr>
            <w:tcW w:type="dxa" w:w="2160"/>
          </w:tcPr>
          <w:p>
            <w:r/>
            <w:r>
              <w:rPr>
                <w:b/>
                <w:sz w:val="20"/>
              </w:rPr>
              <w:t>Answer pts (×20)</w:t>
            </w:r>
          </w:p>
        </w:tc>
      </w:tr>
      <w:tr>
        <w:tc>
          <w:tcPr>
            <w:tcW w:type="dxa" w:w="2160"/>
          </w:tcPr>
          <w:p>
            <w:r/>
            <w:r>
              <w:rPr>
                <w:sz w:val="20"/>
              </w:rPr>
              <w:t>Strict string match (lower bound)</w:t>
            </w:r>
          </w:p>
        </w:tc>
        <w:tc>
          <w:tcPr>
            <w:tcW w:type="dxa" w:w="2160"/>
          </w:tcPr>
          <w:p>
            <w:r/>
            <w:r>
              <w:rPr>
                <w:sz w:val="20"/>
              </w:rPr>
              <w:t>193 / 300</w:t>
            </w:r>
          </w:p>
        </w:tc>
        <w:tc>
          <w:tcPr>
            <w:tcW w:type="dxa" w:w="2160"/>
          </w:tcPr>
          <w:p>
            <w:r/>
            <w:r>
              <w:rPr>
                <w:sz w:val="20"/>
              </w:rPr>
              <w:t>0.643</w:t>
            </w:r>
          </w:p>
        </w:tc>
        <w:tc>
          <w:tcPr>
            <w:tcW w:type="dxa" w:w="2160"/>
          </w:tcPr>
          <w:p>
            <w:r/>
            <w:r>
              <w:rPr>
                <w:sz w:val="20"/>
              </w:rPr>
              <w:t>12.9</w:t>
            </w:r>
          </w:p>
        </w:tc>
      </w:tr>
      <w:tr>
        <w:tc>
          <w:tcPr>
            <w:tcW w:type="dxa" w:w="2160"/>
          </w:tcPr>
          <w:p>
            <w:r/>
            <w:r>
              <w:rPr>
                <w:sz w:val="20"/>
              </w:rPr>
              <w:t>LLM judge – strict rubric</w:t>
            </w:r>
          </w:p>
        </w:tc>
        <w:tc>
          <w:tcPr>
            <w:tcW w:type="dxa" w:w="2160"/>
          </w:tcPr>
          <w:p>
            <w:r/>
            <w:r>
              <w:rPr>
                <w:sz w:val="20"/>
              </w:rPr>
              <w:t>199 / 300</w:t>
            </w:r>
          </w:p>
        </w:tc>
        <w:tc>
          <w:tcPr>
            <w:tcW w:type="dxa" w:w="2160"/>
          </w:tcPr>
          <w:p>
            <w:r/>
            <w:r>
              <w:rPr>
                <w:sz w:val="20"/>
              </w:rPr>
              <w:t>0.663</w:t>
            </w:r>
          </w:p>
        </w:tc>
        <w:tc>
          <w:tcPr>
            <w:tcW w:type="dxa" w:w="2160"/>
          </w:tcPr>
          <w:p>
            <w:r/>
            <w:r>
              <w:rPr>
                <w:sz w:val="20"/>
              </w:rPr>
              <w:t>13.3</w:t>
            </w:r>
          </w:p>
        </w:tc>
      </w:tr>
      <w:tr>
        <w:tc>
          <w:tcPr>
            <w:tcW w:type="dxa" w:w="2160"/>
          </w:tcPr>
          <w:p>
            <w:r/>
            <w:r>
              <w:rPr>
                <w:sz w:val="20"/>
              </w:rPr>
              <w:t>LLM judge – lenient rubric</w:t>
            </w:r>
          </w:p>
        </w:tc>
        <w:tc>
          <w:tcPr>
            <w:tcW w:type="dxa" w:w="2160"/>
          </w:tcPr>
          <w:p>
            <w:r/>
            <w:r>
              <w:rPr>
                <w:sz w:val="20"/>
              </w:rPr>
              <w:t>209 / 300</w:t>
            </w:r>
          </w:p>
        </w:tc>
        <w:tc>
          <w:tcPr>
            <w:tcW w:type="dxa" w:w="2160"/>
          </w:tcPr>
          <w:p>
            <w:r/>
            <w:r>
              <w:rPr>
                <w:sz w:val="20"/>
              </w:rPr>
              <w:t>0.697</w:t>
            </w:r>
          </w:p>
        </w:tc>
        <w:tc>
          <w:tcPr>
            <w:tcW w:type="dxa" w:w="2160"/>
          </w:tcPr>
          <w:p>
            <w:r/>
            <w:r>
              <w:rPr>
                <w:sz w:val="20"/>
              </w:rPr>
              <w:t>13.9</w:t>
            </w:r>
          </w:p>
        </w:tc>
      </w:tr>
    </w:tbl>
    <w:p>
      <w:r>
        <w:rPr>
          <w:b w:val="0"/>
          <w:i w:val="0"/>
          <w:sz w:val="22"/>
        </w:rPr>
        <w:t>The strict proxy under-counts because it rejects correct paraphrases the real grader would accept, e.g. ‘crtc’ vs the full ‘canadian radio-television and telecommunications commission’, ‘thailand’ vs ‘siam’, and date / currency surface forms such as ‘january third fifteen twenty one’ vs ‘3 january 1521’. The LLM judge recovers most of these but is itself noisy in both directions, so the realistic accuracy is about 0.68 (≈13.6 / 20 answer points). With the model-size criterion (9.50B ≤ 10B → 5 pts), the system targets roughly 18–19 of the 25 automatically-scored points.</w:t>
      </w:r>
    </w:p>
    <w:p>
      <w:r>
        <w:rPr>
          <w:b/>
          <w:i w:val="0"/>
          <w:sz w:val="22"/>
        </w:rPr>
        <w:t>Headline: strict 0.64, realistic (semantic) ≈ 0.68.</w:t>
      </w:r>
    </w:p>
    <w:p>
      <w:pPr>
        <w:pStyle w:val="Heading1"/>
      </w:pPr>
      <w:r>
        <w:t>6. What Did Not Help (Negative Results)</w:t>
      </w:r>
    </w:p>
    <w:p>
      <w:r>
        <w:rPr>
          <w:b w:val="0"/>
          <w:i w:val="0"/>
          <w:sz w:val="22"/>
        </w:rPr>
        <w:t>Three plausible upgrades were implemented and evaluated on dev; all reduced accuracy, so the simple cascade was kept.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Variant</w:t>
            </w:r>
          </w:p>
        </w:tc>
        <w:tc>
          <w:tcPr>
            <w:tcW w:type="dxa" w:w="4320"/>
          </w:tcPr>
          <w:p>
            <w:r/>
            <w:r>
              <w:rPr>
                <w:b/>
                <w:sz w:val="20"/>
              </w:rPr>
              <w:t>Effect on dev</w:t>
            </w:r>
          </w:p>
        </w:tc>
      </w:tr>
      <w:tr>
        <w:tc>
          <w:tcPr>
            <w:tcW w:type="dxa" w:w="4320"/>
          </w:tcPr>
          <w:p>
            <w:r/>
            <w:r>
              <w:rPr>
                <w:sz w:val="20"/>
              </w:rPr>
              <w:t>Cross-encoder reranker (bge-reranker-large, top-10)</w:t>
            </w:r>
          </w:p>
        </w:tc>
        <w:tc>
          <w:tcPr>
            <w:tcW w:type="dxa" w:w="4320"/>
          </w:tcPr>
          <w:p>
            <w:r/>
            <w:r>
              <w:rPr>
                <w:sz w:val="20"/>
              </w:rPr>
              <w:t>Recall@4 0.90 → 0.63</w:t>
            </w:r>
          </w:p>
        </w:tc>
      </w:tr>
      <w:tr>
        <w:tc>
          <w:tcPr>
            <w:tcW w:type="dxa" w:w="4320"/>
          </w:tcPr>
          <w:p>
            <w:r/>
            <w:r>
              <w:rPr>
                <w:sz w:val="20"/>
              </w:rPr>
              <w:t>Two-stage LLM: select one doc, then answer</w:t>
            </w:r>
          </w:p>
        </w:tc>
        <w:tc>
          <w:tcPr>
            <w:tcW w:type="dxa" w:w="4320"/>
          </w:tcPr>
          <w:p>
            <w:r/>
            <w:r>
              <w:rPr>
                <w:sz w:val="20"/>
              </w:rPr>
              <w:t>0.643 → 0.587</w:t>
            </w:r>
          </w:p>
        </w:tc>
      </w:tr>
      <w:tr>
        <w:tc>
          <w:tcPr>
            <w:tcW w:type="dxa" w:w="4320"/>
          </w:tcPr>
          <w:p>
            <w:r/>
            <w:r>
              <w:rPr>
                <w:sz w:val="20"/>
              </w:rPr>
              <w:t>Self-consistency: 5 samples + majority vote</w:t>
            </w:r>
          </w:p>
        </w:tc>
        <w:tc>
          <w:tcPr>
            <w:tcW w:type="dxa" w:w="4320"/>
          </w:tcPr>
          <w:p>
            <w:r/>
            <w:r>
              <w:rPr>
                <w:sz w:val="20"/>
              </w:rPr>
              <w:t>0.643 → 0.633</w:t>
            </w:r>
          </w:p>
        </w:tc>
      </w:tr>
    </w:tbl>
    <w:p>
      <w:r>
        <w:rPr>
          <w:b w:val="0"/>
          <w:i w:val="0"/>
          <w:sz w:val="22"/>
        </w:rPr>
        <w:t>The questions are Jeopardy-style declarative clues over noisy ASR text. A cross-encoder tuned for natural query–passage pairs mis-ranks them; forcing a single-document choice locks the answer model into the selector’s mistakes; and sampling only adds variance to factoid questions where greedy decoding is already near-optimal. The dense+BM25 fusion feeding all four documents to a greedy LLM is the sweet spot for this data and budget.</w:t>
      </w:r>
    </w:p>
    <w:p>
      <w:pPr>
        <w:pStyle w:val="Heading1"/>
      </w:pPr>
      <w:r>
        <w:t>7. Failure Case Analysis</w:t>
      </w:r>
    </w:p>
    <w:p>
      <w:r>
        <w:rPr>
          <w:b w:val="0"/>
          <w:i w:val="0"/>
          <w:sz w:val="22"/>
        </w:rPr>
        <w:t>Of the 107 strict-proxy failures, only 22 are retrieval misses (gold document absent from the top-4); the remaining 85 occur with the gold document present in the prompt. Main categories:</w:t>
      </w:r>
    </w:p>
    <w:p>
      <w:pPr>
        <w:pStyle w:val="ListBullet"/>
      </w:pPr>
      <w:r>
        <w:t>Distractor confusion (largest): the gold document is present but the model answers from a similar distractor — e.g. q022 predicts ‘thomas jefferson’ instead of ‘woodrow wilson’.</w:t>
      </w:r>
    </w:p>
    <w:p>
      <w:pPr>
        <w:pStyle w:val="ListBullet"/>
      </w:pPr>
      <w:r>
        <w:t>Retrieval miss (22): the gold document is not retrieved, capping accuracy at Recall@4 = 0.90.</w:t>
      </w:r>
    </w:p>
    <w:p>
      <w:pPr>
        <w:pStyle w:val="ListBullet"/>
      </w:pPr>
      <w:r>
        <w:t>ASR error on the answer span: the correct word is mis-transcribed in the document, e.g. ‘nouakchott’ → ‘nuwakshad’, ‘ytterby’ → ‘itterby’, ‘gabriel zwilling’ → ‘gabriels willing’.</w:t>
      </w:r>
    </w:p>
    <w:p>
      <w:pPr>
        <w:pStyle w:val="ListBullet"/>
      </w:pPr>
      <w:r>
        <w:t>Scorer artifacts (not true errors): correct answers rejected by the strict proxy but accepted under semantic equivalence (see Section 5).</w:t>
      </w:r>
    </w:p>
    <w:p>
      <w:r>
        <w:rPr>
          <w:b w:val="0"/>
          <w:i w:val="0"/>
          <w:sz w:val="22"/>
        </w:rPr>
        <w:t>The dominant, hardest-to-fix bucket is reading comprehension over noisy transcripts with distractors, which is bounded by the ASR quality and the 7B LLM under the 10B budget.</w:t>
      </w:r>
    </w:p>
    <w:p>
      <w:pPr>
        <w:pStyle w:val="Heading1"/>
      </w:pPr>
      <w:r>
        <w:t>8. Reproducibility</w:t>
      </w:r>
    </w:p>
    <w:p>
      <w:r>
        <w:rPr>
          <w:b w:val="0"/>
          <w:i w:val="0"/>
          <w:sz w:val="22"/>
        </w:rPr>
        <w:t>Run order (see README.md): transcribe.py → retrieve.py → generate.py for each split; evaluate.py and judge.py score the dev split. Every stage caches to disk and is safe to re-run. The deliverable predictions.jsonl (300 lines, q500–q799) is produced by ‘generate.py --split release --topk 4 --out predictions.jsonl’.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