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b/>
          <w:sz w:val="28"/>
        </w:rPr>
        <w:t>과제 3 — Duration 기반 TTS (FastSpeech2 + HiFi-GAN)</w:t>
      </w:r>
    </w:p>
    <w:p>
      <w:pPr>
        <w:spacing w:after="160" w:before="0"/>
      </w:pPr>
      <w:r>
        <w:rPr>
          <w:b w:val="0"/>
          <w:i w:val="0"/>
          <w:sz w:val="19"/>
        </w:rPr>
        <w:t>김효은 · 음성언어처리 · 2026</w:t>
      </w:r>
    </w:p>
    <w:p>
      <w:pPr>
        <w:spacing w:before="100" w:after="60"/>
      </w:pPr>
      <w:r>
        <w:rPr>
          <w:b/>
          <w:sz w:val="24"/>
        </w:rPr>
        <w:t>1. 개요</w:t>
      </w:r>
    </w:p>
    <w:p>
      <w:pPr>
        <w:spacing w:after="80" w:before="0"/>
      </w:pPr>
      <w:r>
        <w:rPr>
          <w:b w:val="0"/>
          <w:i w:val="0"/>
          <w:sz w:val="22"/>
        </w:rPr>
        <w:t>LJSpeech (훈련 12,500 / 검증 100 / 테스트 500)를 대상으로 FastSpeech2 방식의 duration 기반 TTS를 학습하였다. 음소 시퀀스와 음소별 duration은 제공된 IPA 압축 매니페스트에서 직접 읽어오므로 별도의 forced alignment는 수행하지 않았다. 추론 시에는 ground-truth duration 레이블 대신 duration predictor의 예측값으로 프레임 수를 결정한다. 80-bin 멜 스펙트로그램은 사전 학습된 HiFi-GAN (LJ_FT_T2_V1)으로 보코딩하였다. 과제 허용 범위에 따라 duration predictor만 사용하고 pitch / energy predictor는 생략하였다.</w:t>
      </w:r>
    </w:p>
    <w:p>
      <w:pPr>
        <w:spacing w:before="100" w:after="60"/>
      </w:pPr>
      <w:r>
        <w:rPr>
          <w:b/>
          <w:sz w:val="24"/>
        </w:rPr>
        <w:t>2. 모델 구조</w:t>
      </w:r>
    </w:p>
    <w:tbl>
      <w:tblPr>
        <w:tblStyle w:val="LightGrid-Accent1"/>
        <w:tblW w:type="auto" w:w="0"/>
        <w:tblLook w:firstColumn="1" w:firstRow="1" w:lastColumn="0" w:lastRow="0" w:noHBand="0" w:noVBand="1" w:val="04A0"/>
      </w:tblPr>
      <w:tblGrid>
        <w:gridCol w:w="5156"/>
        <w:gridCol w:w="5156"/>
      </w:tblGrid>
      <w:tr>
        <w:tc>
          <w:tcPr>
            <w:tcW w:type="dxa" w:w="2098"/>
            <w:vAlign w:val="top"/>
          </w:tcPr>
          <w:p>
            <w:pPr>
              <w:spacing w:after="0"/>
            </w:pPr>
            <w:r/>
            <w:r>
              <w:rPr>
                <w:b/>
                <w:sz w:val="20"/>
              </w:rPr>
              <w:t>블록</w:t>
            </w:r>
          </w:p>
        </w:tc>
        <w:tc>
          <w:tcPr>
            <w:tcW w:type="dxa" w:w="7710"/>
            <w:vAlign w:val="top"/>
          </w:tcPr>
          <w:p>
            <w:pPr>
              <w:spacing w:after="0"/>
            </w:pPr>
            <w:r/>
            <w:r>
              <w:rPr>
                <w:b/>
                <w:sz w:val="20"/>
              </w:rPr>
              <w:t>설정</w:t>
            </w:r>
          </w:p>
        </w:tc>
      </w:tr>
      <w:tr>
        <w:tc>
          <w:tcPr>
            <w:tcW w:type="dxa" w:w="2098"/>
            <w:vAlign w:val="top"/>
          </w:tcPr>
          <w:p>
            <w:pPr>
              <w:spacing w:after="0"/>
            </w:pPr>
            <w:r/>
            <w:r>
              <w:rPr>
                <w:sz w:val="20"/>
              </w:rPr>
              <w:t>Embedding</w:t>
            </w:r>
          </w:p>
        </w:tc>
        <w:tc>
          <w:tcPr>
            <w:tcW w:type="dxa" w:w="7710"/>
            <w:vAlign w:val="top"/>
          </w:tcPr>
          <w:p>
            <w:pPr>
              <w:spacing w:after="0"/>
            </w:pPr>
            <w:r/>
            <w:r>
              <w:rPr>
                <w:sz w:val="20"/>
              </w:rPr>
              <w:t>vocab 50 (IPA 46개 + pad/bos/eos/unk), d=256</w:t>
            </w:r>
          </w:p>
        </w:tc>
      </w:tr>
      <w:tr>
        <w:tc>
          <w:tcPr>
            <w:tcW w:type="dxa" w:w="2098"/>
            <w:vAlign w:val="top"/>
          </w:tcPr>
          <w:p>
            <w:pPr>
              <w:spacing w:after="0"/>
            </w:pPr>
            <w:r/>
            <w:r>
              <w:rPr>
                <w:sz w:val="20"/>
              </w:rPr>
              <w:t>Encoder</w:t>
            </w:r>
          </w:p>
        </w:tc>
        <w:tc>
          <w:tcPr>
            <w:tcW w:type="dxa" w:w="7710"/>
            <w:vAlign w:val="top"/>
          </w:tcPr>
          <w:p>
            <w:pPr>
              <w:spacing w:after="0"/>
            </w:pPr>
            <w:r/>
            <w:r>
              <w:rPr>
                <w:sz w:val="20"/>
              </w:rPr>
              <w:t>FFT 블록 4개: 2-head MHA + ConvFFN (kernel 9), d=256, FF 1024, dropout 0.1</w:t>
            </w:r>
          </w:p>
        </w:tc>
      </w:tr>
      <w:tr>
        <w:tc>
          <w:tcPr>
            <w:tcW w:type="dxa" w:w="2098"/>
            <w:vAlign w:val="top"/>
          </w:tcPr>
          <w:p>
            <w:pPr>
              <w:spacing w:after="0"/>
            </w:pPr>
            <w:r/>
            <w:r>
              <w:rPr>
                <w:sz w:val="20"/>
              </w:rPr>
              <w:t>Duration predictor</w:t>
            </w:r>
          </w:p>
        </w:tc>
        <w:tc>
          <w:tcPr>
            <w:tcW w:type="dxa" w:w="7710"/>
            <w:vAlign w:val="top"/>
          </w:tcPr>
          <w:p>
            <w:pPr>
              <w:spacing w:after="0"/>
            </w:pPr>
            <w:r/>
            <w:r>
              <w:rPr>
                <w:sz w:val="20"/>
              </w:rPr>
              <w:t>Conv1d (k=3, d=256) 2개 + LayerNorm + ReLU → Linear, dropout 0.5; 인코더 출력에 stop-gradient 적용</w:t>
            </w:r>
          </w:p>
        </w:tc>
      </w:tr>
      <w:tr>
        <w:tc>
          <w:tcPr>
            <w:tcW w:type="dxa" w:w="2098"/>
            <w:vAlign w:val="top"/>
          </w:tcPr>
          <w:p>
            <w:pPr>
              <w:spacing w:after="0"/>
            </w:pPr>
            <w:r/>
            <w:r>
              <w:rPr>
                <w:sz w:val="20"/>
              </w:rPr>
              <w:t>Length regulator</w:t>
            </w:r>
          </w:p>
        </w:tc>
        <w:tc>
          <w:tcPr>
            <w:tcW w:type="dxa" w:w="7710"/>
            <w:vAlign w:val="top"/>
          </w:tcPr>
          <w:p>
            <w:pPr>
              <w:spacing w:after="0"/>
            </w:pPr>
            <w:r/>
            <w:r>
              <w:rPr>
                <w:sz w:val="20"/>
              </w:rPr>
              <w:t>정수 duration만큼 인코더 hidden state를 반복 (torch.repeat_interleave)</w:t>
            </w:r>
          </w:p>
        </w:tc>
      </w:tr>
      <w:tr>
        <w:tc>
          <w:tcPr>
            <w:tcW w:type="dxa" w:w="2098"/>
            <w:vAlign w:val="top"/>
          </w:tcPr>
          <w:p>
            <w:pPr>
              <w:spacing w:after="0"/>
            </w:pPr>
            <w:r/>
            <w:r>
              <w:rPr>
                <w:sz w:val="20"/>
              </w:rPr>
              <w:t>Decoder</w:t>
            </w:r>
          </w:p>
        </w:tc>
        <w:tc>
          <w:tcPr>
            <w:tcW w:type="dxa" w:w="7710"/>
            <w:vAlign w:val="top"/>
          </w:tcPr>
          <w:p>
            <w:pPr>
              <w:spacing w:after="0"/>
            </w:pPr>
            <w:r/>
            <w:r>
              <w:rPr>
                <w:sz w:val="20"/>
              </w:rPr>
              <w:t>FFT 블록 4개 (인코더와 동일 설정)</w:t>
            </w:r>
          </w:p>
        </w:tc>
      </w:tr>
      <w:tr>
        <w:tc>
          <w:tcPr>
            <w:tcW w:type="dxa" w:w="2098"/>
            <w:vAlign w:val="top"/>
          </w:tcPr>
          <w:p>
            <w:pPr>
              <w:spacing w:after="0"/>
            </w:pPr>
            <w:r/>
            <w:r>
              <w:rPr>
                <w:sz w:val="20"/>
              </w:rPr>
              <w:t>Mel head + postnet</w:t>
            </w:r>
          </w:p>
        </w:tc>
        <w:tc>
          <w:tcPr>
            <w:tcW w:type="dxa" w:w="7710"/>
            <w:vAlign w:val="top"/>
          </w:tcPr>
          <w:p>
            <w:pPr>
              <w:spacing w:after="0"/>
            </w:pPr>
            <w:r/>
            <w:r>
              <w:rPr>
                <w:sz w:val="20"/>
              </w:rPr>
              <w:t>Linear 256 → 80, 이후 5층 1D-conv postnet (tanh + BN, 잔차 연결)</w:t>
            </w:r>
          </w:p>
        </w:tc>
      </w:tr>
    </w:tbl>
    <w:p>
      <w:pPr>
        <w:spacing w:after="40" w:before="0"/>
      </w:pPr>
      <w:r>
        <w:rPr>
          <w:b w:val="0"/>
          <w:i w:val="0"/>
          <w:sz w:val="8"/>
        </w:rPr>
      </w:r>
    </w:p>
    <w:p>
      <w:pPr>
        <w:spacing w:after="80" w:before="0"/>
      </w:pPr>
      <w:r>
        <w:rPr>
          <w:b w:val="0"/>
          <w:i w:val="0"/>
          <w:sz w:val="22"/>
        </w:rPr>
        <w:t>인코더와 디코더 입력 모두에 사인파 위치 인코딩(sinusoidal positional encoding)을 더한다. 총 학습 가능 파라미터 수: 41.49 M. 멜 스펙트로그램은 HiFi-GAN 설정과 동일하게 구성하였다 (22.05 kHz, n_fft 1024, hop 256, win 1024, 80 mels, f_min 0, f_max 8000, log-magnitude + dynamic-range compression).</w:t>
      </w:r>
    </w:p>
    <w:p>
      <w:pPr>
        <w:spacing w:before="100" w:after="60"/>
      </w:pPr>
      <w:r>
        <w:rPr>
          <w:b/>
          <w:sz w:val="24"/>
        </w:rPr>
        <w:t>3. 학습</w:t>
      </w:r>
    </w:p>
    <w:p>
      <w:pPr>
        <w:spacing w:after="80" w:before="0"/>
      </w:pPr>
      <w:r>
        <w:rPr>
          <w:b w:val="0"/>
          <w:i w:val="0"/>
          <w:sz w:val="22"/>
        </w:rPr>
        <w:t>음소 duration(초)은 round(end·sr/hop) − round(start·sr/hop) 방식으로 정수 멜 프레임으로 변환하여 음소 프레임 합이 멜 길이와 정확히 일치하도록 하였다. 옵티마이저: AdamW (β = 0.9 / 0.98, ε = 1e-9, weight decay 1e-6). 학습률 스케줄: Noam (d_model 256, warmup 4,000). 배치 크기 32, 그래디언트 클리핑 1.0. 손실 함수는 postnet 이전 mel L1, postnet 이후 mel L1, 그리고 실제 음소 위치에서 예측 log-duration과 log(d_gt + 1) 간의 MSE를 합산한다. duration 손실은 인코더로 역전파되지 않도록 인코더 출력을 detach한 후 duration predictor에 입력한다. 총 50,000 스텝 학습 (~4.8시간, A100 MIG 2g.20gb).</w:t>
      </w:r>
    </w:p>
    <w:p>
      <w:pPr>
        <w:spacing w:before="100" w:after="60"/>
      </w:pPr>
      <w:r>
        <w:rPr>
          <w:b/>
          <w:sz w:val="24"/>
        </w:rPr>
        <w:t>3.1 실험 추적 (wandb)</w:t>
      </w:r>
    </w:p>
    <w:p>
      <w:pPr>
        <w:spacing w:after="80" w:before="0"/>
      </w:pPr>
      <w:r>
        <w:rPr>
          <w:b w:val="0"/>
          <w:i w:val="0"/>
          <w:sz w:val="22"/>
        </w:rPr>
        <w:t>모든 학습 지표를 wandb에 기록하였다 (run ID: q5bpag6e). 기록 항목: train/val 손실, 학습률, 그래디언트 norm. URL: https://wandb.ai/hyoeunkim-sungkyunkwan-university/slp-fs2-ljspeech/runs/q5bpag6e</w:t>
      </w:r>
    </w:p>
    <w:p>
      <w:r>
        <w:drawing>
          <wp:inline xmlns:a="http://schemas.openxmlformats.org/drawingml/2006/main" xmlns:pic="http://schemas.openxmlformats.org/drawingml/2006/picture">
            <wp:extent cx="6300000" cy="1550769"/>
            <wp:docPr id="1" name="Picture 1"/>
            <wp:cNvGraphicFramePr>
              <a:graphicFrameLocks noChangeAspect="1"/>
            </wp:cNvGraphicFramePr>
            <a:graphic>
              <a:graphicData uri="http://schemas.openxmlformats.org/drawingml/2006/picture">
                <pic:pic>
                  <pic:nvPicPr>
                    <pic:cNvPr id="0" name="train_curves.png"/>
                    <pic:cNvPicPr/>
                  </pic:nvPicPr>
                  <pic:blipFill>
                    <a:blip r:embed="rId9"/>
                    <a:stretch>
                      <a:fillRect/>
                    </a:stretch>
                  </pic:blipFill>
                  <pic:spPr>
                    <a:xfrm>
                      <a:off x="0" y="0"/>
                      <a:ext cx="6300000" cy="1550769"/>
                    </a:xfrm>
                    <a:prstGeom prst="rect"/>
                  </pic:spPr>
                </pic:pic>
              </a:graphicData>
            </a:graphic>
          </wp:inline>
        </w:drawing>
      </w:r>
    </w:p>
    <w:p>
      <w:r>
        <w:drawing>
          <wp:inline xmlns:a="http://schemas.openxmlformats.org/drawingml/2006/main" xmlns:pic="http://schemas.openxmlformats.org/drawingml/2006/picture">
            <wp:extent cx="3960000" cy="1980000"/>
            <wp:docPr id="2" name="Picture 2"/>
            <wp:cNvGraphicFramePr>
              <a:graphicFrameLocks noChangeAspect="1"/>
            </wp:cNvGraphicFramePr>
            <a:graphic>
              <a:graphicData uri="http://schemas.openxmlformats.org/drawingml/2006/picture">
                <pic:pic>
                  <pic:nvPicPr>
                    <pic:cNvPr id="0" name="loss_total.png"/>
                    <pic:cNvPicPr/>
                  </pic:nvPicPr>
                  <pic:blipFill>
                    <a:blip r:embed="rId10"/>
                    <a:stretch>
                      <a:fillRect/>
                    </a:stretch>
                  </pic:blipFill>
                  <pic:spPr>
                    <a:xfrm>
                      <a:off x="0" y="0"/>
                      <a:ext cx="3960000" cy="1980000"/>
                    </a:xfrm>
                    <a:prstGeom prst="rect"/>
                  </pic:spPr>
                </pic:pic>
              </a:graphicData>
            </a:graphic>
          </wp:inline>
        </w:drawing>
      </w:r>
    </w:p>
    <w:p>
      <w:pPr>
        <w:spacing w:after="40" w:before="0"/>
      </w:pPr>
      <w:r>
        <w:rPr>
          <w:b/>
          <w:i w:val="0"/>
          <w:sz w:val="22"/>
        </w:rPr>
        <w:t>스텝 50,000 최종 지표:</w:t>
      </w:r>
    </w:p>
    <w:tbl>
      <w:tblPr>
        <w:tblStyle w:val="LightGrid-Accent1"/>
        <w:tblW w:type="auto" w:w="0"/>
        <w:tblLook w:firstColumn="1" w:firstRow="1" w:lastColumn="0" w:lastRow="0" w:noHBand="0" w:noVBand="1" w:val="04A0"/>
      </w:tblPr>
      <w:tblGrid>
        <w:gridCol w:w="3437"/>
        <w:gridCol w:w="3437"/>
        <w:gridCol w:w="3437"/>
      </w:tblGrid>
      <w:tr>
        <w:tc>
          <w:tcPr>
            <w:tcW w:type="dxa" w:w="2438"/>
            <w:vAlign w:val="top"/>
          </w:tcPr>
          <w:p>
            <w:pPr>
              <w:spacing w:after="0"/>
            </w:pPr>
            <w:r/>
            <w:r>
              <w:rPr>
                <w:b/>
                <w:sz w:val="20"/>
              </w:rPr>
              <w:t>지표</w:t>
            </w:r>
          </w:p>
        </w:tc>
        <w:tc>
          <w:tcPr>
            <w:tcW w:type="dxa" w:w="3118"/>
            <w:vAlign w:val="top"/>
          </w:tcPr>
          <w:p>
            <w:pPr>
              <w:spacing w:after="0"/>
            </w:pPr>
            <w:r/>
            <w:r>
              <w:rPr>
                <w:b/>
                <w:sz w:val="20"/>
              </w:rPr>
              <w:t>훈련 (step 50,000)</w:t>
            </w:r>
          </w:p>
        </w:tc>
        <w:tc>
          <w:tcPr>
            <w:tcW w:type="dxa" w:w="2551"/>
            <w:vAlign w:val="top"/>
          </w:tcPr>
          <w:p>
            <w:pPr>
              <w:spacing w:after="0"/>
            </w:pPr>
            <w:r/>
            <w:r>
              <w:rPr>
                <w:b/>
                <w:sz w:val="20"/>
              </w:rPr>
              <w:t>검증</w:t>
            </w:r>
          </w:p>
        </w:tc>
      </w:tr>
      <w:tr>
        <w:tc>
          <w:tcPr>
            <w:tcW w:type="dxa" w:w="2438"/>
            <w:vAlign w:val="top"/>
          </w:tcPr>
          <w:p>
            <w:pPr>
              <w:spacing w:after="0"/>
            </w:pPr>
            <w:r/>
            <w:r>
              <w:rPr>
                <w:sz w:val="20"/>
              </w:rPr>
              <w:t>total loss</w:t>
            </w:r>
          </w:p>
        </w:tc>
        <w:tc>
          <w:tcPr>
            <w:tcW w:type="dxa" w:w="3118"/>
            <w:vAlign w:val="top"/>
          </w:tcPr>
          <w:p>
            <w:pPr>
              <w:spacing w:after="0"/>
            </w:pPr>
            <w:r/>
            <w:r>
              <w:rPr>
                <w:sz w:val="20"/>
              </w:rPr>
              <w:t>1.024</w:t>
            </w:r>
          </w:p>
        </w:tc>
        <w:tc>
          <w:tcPr>
            <w:tcW w:type="dxa" w:w="2551"/>
            <w:vAlign w:val="top"/>
          </w:tcPr>
          <w:p>
            <w:pPr>
              <w:spacing w:after="0"/>
            </w:pPr>
            <w:r/>
            <w:r>
              <w:rPr>
                <w:sz w:val="20"/>
              </w:rPr>
              <w:t>1.577</w:t>
            </w:r>
          </w:p>
        </w:tc>
      </w:tr>
      <w:tr>
        <w:tc>
          <w:tcPr>
            <w:tcW w:type="dxa" w:w="2438"/>
            <w:vAlign w:val="top"/>
          </w:tcPr>
          <w:p>
            <w:pPr>
              <w:spacing w:after="0"/>
            </w:pPr>
            <w:r/>
            <w:r>
              <w:rPr>
                <w:sz w:val="20"/>
              </w:rPr>
              <w:t>mel L1 (before)</w:t>
            </w:r>
          </w:p>
        </w:tc>
        <w:tc>
          <w:tcPr>
            <w:tcW w:type="dxa" w:w="3118"/>
            <w:vAlign w:val="top"/>
          </w:tcPr>
          <w:p>
            <w:pPr>
              <w:spacing w:after="0"/>
            </w:pPr>
            <w:r/>
            <w:r>
              <w:rPr>
                <w:sz w:val="20"/>
              </w:rPr>
              <w:t>0.476</w:t>
            </w:r>
          </w:p>
        </w:tc>
        <w:tc>
          <w:tcPr>
            <w:tcW w:type="dxa" w:w="2551"/>
            <w:vAlign w:val="top"/>
          </w:tcPr>
          <w:p>
            <w:pPr>
              <w:spacing w:after="0"/>
            </w:pPr>
            <w:r/>
            <w:r>
              <w:rPr>
                <w:sz w:val="20"/>
              </w:rPr>
              <w:t>0.750</w:t>
            </w:r>
          </w:p>
        </w:tc>
      </w:tr>
      <w:tr>
        <w:tc>
          <w:tcPr>
            <w:tcW w:type="dxa" w:w="2438"/>
            <w:vAlign w:val="top"/>
          </w:tcPr>
          <w:p>
            <w:pPr>
              <w:spacing w:after="0"/>
            </w:pPr>
            <w:r/>
            <w:r>
              <w:rPr>
                <w:sz w:val="20"/>
              </w:rPr>
              <w:t>mel L1 (after)</w:t>
            </w:r>
          </w:p>
        </w:tc>
        <w:tc>
          <w:tcPr>
            <w:tcW w:type="dxa" w:w="3118"/>
            <w:vAlign w:val="top"/>
          </w:tcPr>
          <w:p>
            <w:pPr>
              <w:spacing w:after="0"/>
            </w:pPr>
            <w:r/>
            <w:r>
              <w:rPr>
                <w:sz w:val="20"/>
              </w:rPr>
              <w:t>0.465</w:t>
            </w:r>
          </w:p>
        </w:tc>
        <w:tc>
          <w:tcPr>
            <w:tcW w:type="dxa" w:w="2551"/>
            <w:vAlign w:val="top"/>
          </w:tcPr>
          <w:p>
            <w:pPr>
              <w:spacing w:after="0"/>
            </w:pPr>
            <w:r/>
            <w:r>
              <w:rPr>
                <w:sz w:val="20"/>
              </w:rPr>
              <w:t>0.752</w:t>
            </w:r>
          </w:p>
        </w:tc>
      </w:tr>
      <w:tr>
        <w:tc>
          <w:tcPr>
            <w:tcW w:type="dxa" w:w="2438"/>
            <w:vAlign w:val="top"/>
          </w:tcPr>
          <w:p>
            <w:pPr>
              <w:spacing w:after="0"/>
            </w:pPr>
            <w:r/>
            <w:r>
              <w:rPr>
                <w:sz w:val="20"/>
              </w:rPr>
              <w:t>duration MSE</w:t>
            </w:r>
          </w:p>
        </w:tc>
        <w:tc>
          <w:tcPr>
            <w:tcW w:type="dxa" w:w="3118"/>
            <w:vAlign w:val="top"/>
          </w:tcPr>
          <w:p>
            <w:pPr>
              <w:spacing w:after="0"/>
            </w:pPr>
            <w:r/>
            <w:r>
              <w:rPr>
                <w:sz w:val="20"/>
              </w:rPr>
              <w:t>0.083</w:t>
            </w:r>
          </w:p>
        </w:tc>
        <w:tc>
          <w:tcPr>
            <w:tcW w:type="dxa" w:w="2551"/>
            <w:vAlign w:val="top"/>
          </w:tcPr>
          <w:p>
            <w:pPr>
              <w:spacing w:after="0"/>
            </w:pPr>
            <w:r/>
            <w:r>
              <w:rPr>
                <w:sz w:val="20"/>
              </w:rPr>
              <w:t>0.075</w:t>
            </w:r>
          </w:p>
        </w:tc>
      </w:tr>
      <w:tr>
        <w:tc>
          <w:tcPr>
            <w:tcW w:type="dxa" w:w="2438"/>
            <w:vAlign w:val="top"/>
          </w:tcPr>
          <w:p>
            <w:pPr>
              <w:spacing w:after="0"/>
            </w:pPr>
            <w:r/>
            <w:r>
              <w:rPr>
                <w:sz w:val="20"/>
              </w:rPr>
              <w:t>lr</w:t>
            </w:r>
          </w:p>
        </w:tc>
        <w:tc>
          <w:tcPr>
            <w:tcW w:type="dxa" w:w="3118"/>
            <w:vAlign w:val="top"/>
          </w:tcPr>
          <w:p>
            <w:pPr>
              <w:spacing w:after="0"/>
            </w:pPr>
            <w:r/>
            <w:r>
              <w:rPr>
                <w:sz w:val="20"/>
              </w:rPr>
              <w:t>2.80 × 10⁻⁴</w:t>
            </w:r>
          </w:p>
        </w:tc>
        <w:tc>
          <w:tcPr>
            <w:tcW w:type="dxa" w:w="2551"/>
            <w:vAlign w:val="top"/>
          </w:tcPr>
          <w:p>
            <w:pPr>
              <w:spacing w:after="0"/>
            </w:pPr>
            <w:r/>
            <w:r>
              <w:rPr>
                <w:sz w:val="20"/>
              </w:rPr>
              <w:t>—</w:t>
            </w:r>
          </w:p>
        </w:tc>
      </w:tr>
      <w:tr>
        <w:tc>
          <w:tcPr>
            <w:tcW w:type="dxa" w:w="2438"/>
            <w:vAlign w:val="top"/>
          </w:tcPr>
          <w:p>
            <w:pPr>
              <w:spacing w:after="0"/>
            </w:pPr>
            <w:r/>
            <w:r>
              <w:rPr>
                <w:sz w:val="20"/>
              </w:rPr>
              <w:t>grad-norm</w:t>
            </w:r>
          </w:p>
        </w:tc>
        <w:tc>
          <w:tcPr>
            <w:tcW w:type="dxa" w:w="3118"/>
            <w:vAlign w:val="top"/>
          </w:tcPr>
          <w:p>
            <w:pPr>
              <w:spacing w:after="0"/>
            </w:pPr>
            <w:r/>
            <w:r>
              <w:rPr>
                <w:sz w:val="20"/>
              </w:rPr>
              <w:t>1.07</w:t>
            </w:r>
          </w:p>
        </w:tc>
        <w:tc>
          <w:tcPr>
            <w:tcW w:type="dxa" w:w="2551"/>
            <w:vAlign w:val="top"/>
          </w:tcPr>
          <w:p>
            <w:pPr>
              <w:spacing w:after="0"/>
            </w:pPr>
            <w:r/>
            <w:r>
              <w:rPr>
                <w:sz w:val="20"/>
              </w:rPr>
              <w:t>—</w:t>
            </w:r>
          </w:p>
        </w:tc>
      </w:tr>
    </w:tbl>
    <w:p>
      <w:pPr>
        <w:spacing w:after="40" w:before="0"/>
      </w:pPr>
      <w:r>
        <w:rPr>
          <w:b w:val="0"/>
          <w:i w:val="0"/>
          <w:sz w:val="8"/>
        </w:rPr>
      </w:r>
    </w:p>
    <w:p>
      <w:pPr>
        <w:spacing w:before="100" w:after="60"/>
      </w:pPr>
      <w:r>
        <w:rPr>
          <w:b/>
          <w:sz w:val="24"/>
        </w:rPr>
        <w:t>4. 평가 (Whisper-large-v3-turbo)</w:t>
      </w:r>
    </w:p>
    <w:tbl>
      <w:tblPr>
        <w:tblStyle w:val="LightGrid-Accent1"/>
        <w:tblW w:type="auto" w:w="0"/>
        <w:tblLook w:firstColumn="1" w:firstRow="1" w:lastColumn="0" w:lastRow="0" w:noHBand="0" w:noVBand="1" w:val="04A0"/>
      </w:tblPr>
      <w:tblGrid>
        <w:gridCol w:w="1719"/>
        <w:gridCol w:w="1719"/>
        <w:gridCol w:w="1719"/>
        <w:gridCol w:w="1719"/>
        <w:gridCol w:w="1719"/>
        <w:gridCol w:w="1719"/>
      </w:tblGrid>
      <w:tr>
        <w:tc>
          <w:tcPr>
            <w:tcW w:type="dxa" w:w="1134"/>
            <w:vAlign w:val="top"/>
          </w:tcPr>
          <w:p>
            <w:pPr>
              <w:spacing w:after="0"/>
            </w:pPr>
            <w:r/>
            <w:r>
              <w:rPr>
                <w:b/>
                <w:sz w:val="20"/>
              </w:rPr>
              <w:t>샘플 수</w:t>
            </w:r>
          </w:p>
        </w:tc>
        <w:tc>
          <w:tcPr>
            <w:tcW w:type="dxa" w:w="1247"/>
            <w:vAlign w:val="top"/>
          </w:tcPr>
          <w:p>
            <w:pPr>
              <w:spacing w:after="0"/>
            </w:pPr>
            <w:r/>
            <w:r>
              <w:rPr>
                <w:b/>
                <w:sz w:val="20"/>
              </w:rPr>
              <w:t>WER</w:t>
            </w:r>
          </w:p>
        </w:tc>
        <w:tc>
          <w:tcPr>
            <w:tcW w:type="dxa" w:w="1134"/>
            <w:vAlign w:val="top"/>
          </w:tcPr>
          <w:p>
            <w:pPr>
              <w:spacing w:after="0"/>
            </w:pPr>
            <w:r/>
            <w:r>
              <w:rPr>
                <w:b/>
                <w:sz w:val="20"/>
              </w:rPr>
              <w:t>대체(S)</w:t>
            </w:r>
          </w:p>
        </w:tc>
        <w:tc>
          <w:tcPr>
            <w:tcW w:type="dxa" w:w="1134"/>
            <w:vAlign w:val="top"/>
          </w:tcPr>
          <w:p>
            <w:pPr>
              <w:spacing w:after="0"/>
            </w:pPr>
            <w:r/>
            <w:r>
              <w:rPr>
                <w:b/>
                <w:sz w:val="20"/>
              </w:rPr>
              <w:t>삽입(I)</w:t>
            </w:r>
          </w:p>
        </w:tc>
        <w:tc>
          <w:tcPr>
            <w:tcW w:type="dxa" w:w="1134"/>
            <w:vAlign w:val="top"/>
          </w:tcPr>
          <w:p>
            <w:pPr>
              <w:spacing w:after="0"/>
            </w:pPr>
            <w:r/>
            <w:r>
              <w:rPr>
                <w:b/>
                <w:sz w:val="20"/>
              </w:rPr>
              <w:t>삭제(D)</w:t>
            </w:r>
          </w:p>
        </w:tc>
        <w:tc>
          <w:tcPr>
            <w:tcW w:type="dxa" w:w="1134"/>
            <w:vAlign w:val="top"/>
          </w:tcPr>
          <w:p>
            <w:pPr>
              <w:spacing w:after="0"/>
            </w:pPr>
            <w:r/>
            <w:r>
              <w:rPr>
                <w:b/>
                <w:sz w:val="20"/>
              </w:rPr>
              <w:t>정답(H)</w:t>
            </w:r>
          </w:p>
        </w:tc>
      </w:tr>
      <w:tr>
        <w:tc>
          <w:tcPr>
            <w:tcW w:type="dxa" w:w="1134"/>
            <w:vAlign w:val="top"/>
          </w:tcPr>
          <w:p>
            <w:pPr>
              <w:spacing w:after="0"/>
            </w:pPr>
            <w:r/>
            <w:r>
              <w:rPr>
                <w:sz w:val="20"/>
              </w:rPr>
              <w:t>500</w:t>
            </w:r>
          </w:p>
        </w:tc>
        <w:tc>
          <w:tcPr>
            <w:tcW w:type="dxa" w:w="1247"/>
            <w:vAlign w:val="top"/>
          </w:tcPr>
          <w:p>
            <w:pPr>
              <w:spacing w:after="0"/>
            </w:pPr>
            <w:r/>
            <w:r>
              <w:rPr>
                <w:sz w:val="20"/>
              </w:rPr>
              <w:t>5.28%</w:t>
            </w:r>
          </w:p>
        </w:tc>
        <w:tc>
          <w:tcPr>
            <w:tcW w:type="dxa" w:w="1134"/>
            <w:vAlign w:val="top"/>
          </w:tcPr>
          <w:p>
            <w:pPr>
              <w:spacing w:after="0"/>
            </w:pPr>
            <w:r/>
            <w:r>
              <w:rPr>
                <w:sz w:val="20"/>
              </w:rPr>
              <w:t>292</w:t>
            </w:r>
          </w:p>
        </w:tc>
        <w:tc>
          <w:tcPr>
            <w:tcW w:type="dxa" w:w="1134"/>
            <w:vAlign w:val="top"/>
          </w:tcPr>
          <w:p>
            <w:pPr>
              <w:spacing w:after="0"/>
            </w:pPr>
            <w:r/>
            <w:r>
              <w:rPr>
                <w:sz w:val="20"/>
              </w:rPr>
              <w:t>26</w:t>
            </w:r>
          </w:p>
        </w:tc>
        <w:tc>
          <w:tcPr>
            <w:tcW w:type="dxa" w:w="1134"/>
            <w:vAlign w:val="top"/>
          </w:tcPr>
          <w:p>
            <w:pPr>
              <w:spacing w:after="0"/>
            </w:pPr>
            <w:r/>
            <w:r>
              <w:rPr>
                <w:sz w:val="20"/>
              </w:rPr>
              <w:t>141</w:t>
            </w:r>
          </w:p>
        </w:tc>
        <w:tc>
          <w:tcPr>
            <w:tcW w:type="dxa" w:w="1134"/>
            <w:vAlign w:val="top"/>
          </w:tcPr>
          <w:p>
            <w:pPr>
              <w:spacing w:after="0"/>
            </w:pPr>
            <w:r/>
            <w:r>
              <w:rPr>
                <w:sz w:val="20"/>
              </w:rPr>
              <w:t>8265</w:t>
            </w:r>
          </w:p>
        </w:tc>
      </w:tr>
    </w:tbl>
    <w:p>
      <w:pPr>
        <w:spacing w:after="40" w:before="0"/>
      </w:pPr>
      <w:r>
        <w:rPr>
          <w:b w:val="0"/>
          <w:i w:val="0"/>
          <w:sz w:val="8"/>
        </w:rPr>
      </w:r>
    </w:p>
    <w:p>
      <w:pPr>
        <w:spacing w:after="80" w:before="0"/>
      </w:pPr>
      <w:r>
        <w:rPr>
          <w:b w:val="0"/>
          <w:i w:val="0"/>
          <w:sz w:val="22"/>
        </w:rPr>
        <w:t>테스트셋 500개 발화 각각을 예측 duration으로 end-to-end 합성한 후 Whisper (large-v3-turbo, 영어, FP16)로 전사하였다. 레퍼런스와 가설 텍스트는 모두 소문자로 변환하고 영숫자·아포스트로피 이외의 문자를 제거한 뒤 jiwer.process_words로 WER을 계산하였다.</w:t>
      </w:r>
    </w:p>
    <w:p>
      <w:pPr>
        <w:spacing w:before="100" w:after="60"/>
      </w:pPr>
      <w:r>
        <w:rPr>
          <w:b/>
          <w:sz w:val="24"/>
        </w:rPr>
        <w:t>5. 생성 샘플 (테스트 발화 5개)</w:t>
      </w:r>
    </w:p>
    <w:p>
      <w:pPr>
        <w:spacing w:after="80" w:before="0"/>
      </w:pPr>
      <w:r>
        <w:rPr>
          <w:b w:val="0"/>
          <w:i w:val="0"/>
          <w:sz w:val="22"/>
        </w:rPr>
        <w:t>22,050 Hz로 합성하였다. 레퍼런스 텍스트와 Whisper 전사 결과는 아래 표와 같으며, wav 파일은 제출물의 samples/ 폴더에 포함되어 있다.</w:t>
      </w:r>
    </w:p>
    <w:tbl>
      <w:tblPr>
        <w:tblStyle w:val="LightGrid-Accent1"/>
        <w:tblW w:type="auto" w:w="0"/>
        <w:tblLook w:firstColumn="1" w:firstRow="1" w:lastColumn="0" w:lastRow="0" w:noHBand="0" w:noVBand="1" w:val="04A0"/>
      </w:tblPr>
      <w:tblGrid>
        <w:gridCol w:w="3437"/>
        <w:gridCol w:w="3437"/>
        <w:gridCol w:w="3437"/>
      </w:tblGrid>
      <w:tr>
        <w:tc>
          <w:tcPr>
            <w:tcW w:type="dxa" w:w="1474"/>
            <w:vAlign w:val="top"/>
          </w:tcPr>
          <w:p>
            <w:pPr>
              <w:spacing w:after="0"/>
            </w:pPr>
            <w:r/>
            <w:r>
              <w:rPr>
                <w:b/>
                <w:sz w:val="18"/>
              </w:rPr>
              <w:t>ID</w:t>
            </w:r>
          </w:p>
        </w:tc>
        <w:tc>
          <w:tcPr>
            <w:tcW w:type="dxa" w:w="4195"/>
            <w:vAlign w:val="top"/>
          </w:tcPr>
          <w:p>
            <w:pPr>
              <w:spacing w:after="0"/>
            </w:pPr>
            <w:r/>
            <w:r>
              <w:rPr>
                <w:b/>
                <w:sz w:val="18"/>
              </w:rPr>
              <w:t>레퍼런스</w:t>
            </w:r>
          </w:p>
        </w:tc>
        <w:tc>
          <w:tcPr>
            <w:tcW w:type="dxa" w:w="4195"/>
            <w:vAlign w:val="top"/>
          </w:tcPr>
          <w:p>
            <w:pPr>
              <w:spacing w:after="0"/>
            </w:pPr>
            <w:r/>
            <w:r>
              <w:rPr>
                <w:b/>
                <w:sz w:val="18"/>
              </w:rPr>
              <w:t>Whisper 전사</w:t>
            </w:r>
          </w:p>
        </w:tc>
      </w:tr>
      <w:tr>
        <w:tc>
          <w:tcPr>
            <w:tcW w:type="dxa" w:w="1474"/>
            <w:vAlign w:val="top"/>
          </w:tcPr>
          <w:p>
            <w:pPr>
              <w:spacing w:after="0"/>
            </w:pPr>
            <w:r/>
            <w:r>
              <w:rPr>
                <w:sz w:val="18"/>
              </w:rPr>
              <w:t>LJ012-0091</w:t>
            </w:r>
          </w:p>
        </w:tc>
        <w:tc>
          <w:tcPr>
            <w:tcW w:type="dxa" w:w="4195"/>
            <w:vAlign w:val="top"/>
          </w:tcPr>
          <w:p>
            <w:pPr>
              <w:spacing w:after="0"/>
            </w:pPr>
            <w:r/>
            <w:r>
              <w:rPr>
                <w:sz w:val="18"/>
              </w:rPr>
              <w:t>the spoil was fairly divided part of the notes were disposed of to a traveling receiver who passed over to the continent and there cashed them easily</w:t>
            </w:r>
          </w:p>
        </w:tc>
        <w:tc>
          <w:tcPr>
            <w:tcW w:type="dxa" w:w="4195"/>
            <w:vAlign w:val="top"/>
          </w:tcPr>
          <w:p>
            <w:pPr>
              <w:spacing w:after="0"/>
            </w:pPr>
            <w:r/>
            <w:r>
              <w:rPr>
                <w:sz w:val="18"/>
              </w:rPr>
              <w:t>the spoil was fairly divided part of the notes were disposed of to a traveling receiver who passed over to the continent and there cashed them easily</w:t>
            </w:r>
          </w:p>
        </w:tc>
      </w:tr>
      <w:tr>
        <w:tc>
          <w:tcPr>
            <w:tcW w:type="dxa" w:w="1474"/>
            <w:vAlign w:val="top"/>
          </w:tcPr>
          <w:p>
            <w:pPr>
              <w:spacing w:after="0"/>
            </w:pPr>
            <w:r/>
            <w:r>
              <w:rPr>
                <w:sz w:val="18"/>
              </w:rPr>
              <w:t>LJ014-0066</w:t>
            </w:r>
          </w:p>
        </w:tc>
        <w:tc>
          <w:tcPr>
            <w:tcW w:type="dxa" w:w="4195"/>
            <w:vAlign w:val="top"/>
          </w:tcPr>
          <w:p>
            <w:pPr>
              <w:spacing w:after="0"/>
            </w:pPr>
            <w:r/>
            <w:r>
              <w:rPr>
                <w:sz w:val="18"/>
              </w:rPr>
              <w:t>and by dint of usurious interest on small sums advanced to needy neighbors had amassed as much as eight thousand pounds or ten thousand pounds</w:t>
            </w:r>
          </w:p>
        </w:tc>
        <w:tc>
          <w:tcPr>
            <w:tcW w:type="dxa" w:w="4195"/>
            <w:vAlign w:val="top"/>
          </w:tcPr>
          <w:p>
            <w:pPr>
              <w:spacing w:after="0"/>
            </w:pPr>
            <w:r/>
            <w:r>
              <w:rPr>
                <w:sz w:val="18"/>
              </w:rPr>
              <w:t>and bidentavu surya's interest on small sums advanced to needy neighbors had amassed as much as 8 000 pounds or 10 000 pounds</w:t>
            </w:r>
          </w:p>
        </w:tc>
      </w:tr>
      <w:tr>
        <w:tc>
          <w:tcPr>
            <w:tcW w:type="dxa" w:w="1474"/>
            <w:vAlign w:val="top"/>
          </w:tcPr>
          <w:p>
            <w:pPr>
              <w:spacing w:after="0"/>
            </w:pPr>
            <w:r/>
            <w:r>
              <w:rPr>
                <w:sz w:val="18"/>
              </w:rPr>
              <w:t>LJ003-0011</w:t>
            </w:r>
          </w:p>
        </w:tc>
        <w:tc>
          <w:tcPr>
            <w:tcW w:type="dxa" w:w="4195"/>
            <w:vAlign w:val="top"/>
          </w:tcPr>
          <w:p>
            <w:pPr>
              <w:spacing w:after="0"/>
            </w:pPr>
            <w:r/>
            <w:r>
              <w:rPr>
                <w:sz w:val="18"/>
              </w:rPr>
              <w:t>that not more than one bottle of wine or one quart of beer could be issued at one time no account was taken of the amount of liquors admitted in one day</w:t>
            </w:r>
          </w:p>
        </w:tc>
        <w:tc>
          <w:tcPr>
            <w:tcW w:type="dxa" w:w="4195"/>
            <w:vAlign w:val="top"/>
          </w:tcPr>
          <w:p>
            <w:pPr>
              <w:spacing w:after="0"/>
            </w:pPr>
            <w:r/>
            <w:r>
              <w:rPr>
                <w:sz w:val="18"/>
              </w:rPr>
              <w:t>that not more than one bottle of wine or one quart of beer could be eschewed at one time no account was taken of the amount of liquors admitted in one day</w:t>
            </w:r>
          </w:p>
        </w:tc>
      </w:tr>
      <w:tr>
        <w:tc>
          <w:tcPr>
            <w:tcW w:type="dxa" w:w="1474"/>
            <w:vAlign w:val="top"/>
          </w:tcPr>
          <w:p>
            <w:pPr>
              <w:spacing w:after="0"/>
            </w:pPr>
            <w:r/>
            <w:r>
              <w:rPr>
                <w:sz w:val="18"/>
              </w:rPr>
              <w:t>LJ002-0272</w:t>
            </w:r>
          </w:p>
        </w:tc>
        <w:tc>
          <w:tcPr>
            <w:tcW w:type="dxa" w:w="4195"/>
            <w:vAlign w:val="top"/>
          </w:tcPr>
          <w:p>
            <w:pPr>
              <w:spacing w:after="0"/>
            </w:pPr>
            <w:r/>
            <w:r>
              <w:rPr>
                <w:sz w:val="18"/>
              </w:rPr>
              <w:t>on the opening of whitecross prison for debtors in eighteen fifteen</w:t>
            </w:r>
          </w:p>
        </w:tc>
        <w:tc>
          <w:tcPr>
            <w:tcW w:type="dxa" w:w="4195"/>
            <w:vAlign w:val="top"/>
          </w:tcPr>
          <w:p>
            <w:pPr>
              <w:spacing w:after="0"/>
            </w:pPr>
            <w:r/>
            <w:r>
              <w:rPr>
                <w:sz w:val="18"/>
              </w:rPr>
              <w:t>on the opening of white cross prison for debtors in 1815</w:t>
            </w:r>
          </w:p>
        </w:tc>
      </w:tr>
      <w:tr>
        <w:tc>
          <w:tcPr>
            <w:tcW w:type="dxa" w:w="1474"/>
            <w:vAlign w:val="top"/>
          </w:tcPr>
          <w:p>
            <w:pPr>
              <w:spacing w:after="0"/>
            </w:pPr>
            <w:r/>
            <w:r>
              <w:rPr>
                <w:sz w:val="18"/>
              </w:rPr>
              <w:t>LJ015-0205</w:t>
            </w:r>
          </w:p>
        </w:tc>
        <w:tc>
          <w:tcPr>
            <w:tcW w:type="dxa" w:w="4195"/>
            <w:vAlign w:val="top"/>
          </w:tcPr>
          <w:p>
            <w:pPr>
              <w:spacing w:after="0"/>
            </w:pPr>
            <w:r/>
            <w:r>
              <w:rPr>
                <w:sz w:val="18"/>
              </w:rPr>
              <w:t>who had been concerned in various jobs of a dishonest character and who for the moment was a clerk in a betting office</w:t>
            </w:r>
          </w:p>
        </w:tc>
        <w:tc>
          <w:tcPr>
            <w:tcW w:type="dxa" w:w="4195"/>
            <w:vAlign w:val="top"/>
          </w:tcPr>
          <w:p>
            <w:pPr>
              <w:spacing w:after="0"/>
            </w:pPr>
            <w:r/>
            <w:r>
              <w:rPr>
                <w:sz w:val="18"/>
              </w:rPr>
              <w:t>who had been concerned in various jobs of a dishonest character and who for the moment was a clerk in a betting office</w:t>
            </w:r>
          </w:p>
        </w:tc>
      </w:tr>
    </w:tbl>
    <w:p>
      <w:pPr>
        <w:spacing w:after="40" w:before="0"/>
      </w:pPr>
      <w:r>
        <w:rPr>
          <w:b w:val="0"/>
          <w:i w:val="0"/>
          <w:sz w:val="8"/>
        </w:rPr>
      </w:r>
    </w:p>
    <w:p>
      <w:pPr>
        <w:spacing w:before="100" w:after="60"/>
      </w:pPr>
      <w:r>
        <w:rPr>
          <w:b/>
          <w:sz w:val="24"/>
        </w:rPr>
        <w:t>6. 고찰</w:t>
      </w:r>
    </w:p>
    <w:p>
      <w:pPr>
        <w:spacing w:after="80" w:before="0"/>
      </w:pPr>
      <w:r>
        <w:rPr>
          <w:b w:val="0"/>
          <w:i w:val="0"/>
          <w:sz w:val="22"/>
        </w:rPr>
        <w:t>• 검증 mel-L1은 0.75 부근에서 수렴하는 반면 훈련 손실은 계속 감소하여 소폭의 과적합이 관찰되었다. 그럼에도 합성 음성의 가청성은 유지되었다.</w:t>
      </w:r>
    </w:p>
    <w:p>
      <w:pPr>
        <w:spacing w:after="80" w:before="0"/>
      </w:pPr>
      <w:r>
        <w:rPr>
          <w:b w:val="0"/>
          <w:i w:val="0"/>
          <w:sz w:val="22"/>
        </w:rPr>
        <w:t>• 보코더로 LJ_FT_T2_V1을 선택한 이유는, 이 모델이 Tacotron2 생성 멜을 대상으로 파인튜닝되었기 때문이다. Tacotron2 출력 멜의 특성이 ground-truth 멜보다 FastSpeech2 출력과 유사하여 보코딩 품질이 더 좋았다.</w:t>
      </w:r>
    </w:p>
    <w:p>
      <w:pPr>
        <w:spacing w:after="80" w:before="0"/>
      </w:pPr>
      <w:r>
        <w:rPr>
          <w:b w:val="0"/>
          <w:i w:val="0"/>
          <w:sz w:val="22"/>
        </w:rPr>
        <w:t>• WER 오류 대부분은 음운론적 혼동이나 Whisper 정규화로 인한 것이며 (예: "whitecross" → "white cross", "eighteen fifteen" → "1815"), TTS 자체의 아티팩트로 보기 어렵다.</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