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2026-08-23</w:t>
      </w:r>
    </w:p>
    <w:p>
      <w:pPr>
        <w:jc w:val="center"/>
      </w:pPr>
      <w:r>
        <w:rPr>
          <w:color w:val="808080"/>
          <w:sz w:val="18"/>
        </w:rPr>
        <w:t>생성 모델: claude-sonnet-4-6  |  HIGH+MEDIUM 180건 (해외 84건 / 국내 96건)</w:t>
      </w:r>
    </w:p>
    <w:p/>
    <w:p>
      <w:pPr>
        <w:pStyle w:val="Heading2"/>
      </w:pPr>
      <w:r>
        <w:t>오늘의 핵심</w:t>
      </w:r>
    </w:p>
    <w:p>
      <w:r>
        <w:t>트럼프 대통령이 호르무즈 해협을 '미국 영토'로 선언하는 게시물을 재공유하는 가운데[1][2][8], 이란은 미국의 제재에 동참하는 국가를 '적'으로 간주하고 '석유 한 방울도 걸프만을 떠나지 못하게 하겠다'고 위협하며 봉쇄 강경 기조를 유지하고 있다[6][11][14]. 파키스탄 군 총사령관 무니르가 24일 테헤란을 방문해 미·이란 협상의 돌파구를 모색할 예정이나[17][20], 이란 외무부는 미국의 경제 압박을 '낡은 전술'로 규정하며 대응 의지를 천명했다[18][19]. 한편 호르무즈를 우회하는 오만 루트를 통한 선박 통항이 급증하는 등 해운 업계의 대체 항로 활용이 가시화되고 있으며[51][52], 한국 선사는 북극항로 컨테이너 시범운항을 개시해 유럽 대체 항로 확보에 나섰다[58][60]. 국내 정유·석화 업계는 중동 원유 의존도를 낮추고 인도·미국산 원료로 공급망을 재편하는 움직임을 보이고 있으며[74][75], 정부는 석유제품 최고가격제를 4주 추가 동결하는 등 유가 안정 조치를 지속하고 있다[38][45].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17 / MEDIUM 77)</w:t>
      </w:r>
    </w:p>
    <w:p>
      <w:r>
        <w:rPr>
          <w:b/>
        </w:rPr>
        <w:t>🌐 해외 상황</w:t>
      </w:r>
    </w:p>
    <w:p>
      <w:r>
        <w:t>트럼프 대통령은 호르무즈 해협을 '미국의 새 영토'로 표기한 지도 이미지를 Truth Social에 게시·재공유했으며[1][2][8], 불가리아·아프가니스탄 등 복수 매체가 이를 보도했다[3][8]. 이란 레자에이 전 사령관은 미국이 입장을 바꾸기 전까지 해협을 봉쇄하겠다고 밝혔고[2], 이란은 미국의 제재 계획에 동참하는 역내 국가들을 '적'으로 간주하겠다고 경고했다[5][6]. 이란은 역내 국가들이 미국 계획에 협력할 경우 걸프만에서 석유 한 방울도 나가지 못하게 하겠다고 위협했으며[6], 이란 외무부는 미국의 경제 압박을 '낡은 각본'으로 규정하고 대응 방법을 이미 알고 있다고 밝혔다[18][19]. 인도 외교 전문가 로빈더 사흐데브는 트럼프의 호르무즈 영토 주장을 '허풍'으로 평가했으며[7], 파키스탄 군 총사령관의 이란 방문이 미·이란 협상의 키로 주목받고 있다[9][17].</w:t>
      </w:r>
    </w:p>
    <w:p>
      <w:r>
        <w:rPr>
          <w:b/>
        </w:rPr>
        <w:t>🇰🇷 국내 영향</w:t>
      </w:r>
    </w:p>
    <w:p>
      <w:r>
        <w:t>국내 언론은 이란이 미국 제재 동참국을 '적'으로 간주하고 석유 수출을 전면 차단하겠다고 위협한 사실을 집중 보도했다[11][12][14]. 트럼프의 '호르무즈 미국 영토' 주장과 이란의 강경 대응이 맞물리며 중동 긴장이 고조되는 상황이 국내에서도 주요 이슈로 다뤄지고 있다[12][13]. 파키스탄 총사령관 무니르의 24일 테헤란 방문이 협상 돌파구가 될지 주목되며[17][20], 미·이스라엘 간 전략적 이견(트럼프는 대화, 네타냐후는 확전 선호)도 중동 정세의 변수로 부각되고 있다[16]. 우크라이나 물류센터 피격에 대한 푸틴의 보복 위협도 국내 언론에 보도되며 복합 지정학 리스크가 동시에 부각되고 있다[15].</w:t>
      </w:r>
    </w:p>
    <w:p>
      <w:pPr>
        <w:pStyle w:val="Heading3"/>
      </w:pPr>
      <w:r>
        <w:t>운임·물류비  (HIGH 1 / MEDIUM 0)</w:t>
      </w:r>
    </w:p>
    <w:p>
      <w:r>
        <w:rPr>
          <w:b/>
        </w:rPr>
        <w:t>🇰🇷 국내 영향</w:t>
      </w:r>
    </w:p>
    <w:p>
      <w:r>
        <w:t>파나마 운하는 가뭄으로 인해 9월 하루 통행 가능 선박 수를 32척으로 제한할 예정이다[21]. 이는 수에즈·호르무즈 긴장과 별개로 파나마 운하 통과 의존 항로에 추가적인 병목을 야기할 가능성이 있다[21].</w:t>
      </w:r>
    </w:p>
    <w:p>
      <w:pPr>
        <w:pStyle w:val="Heading3"/>
      </w:pPr>
      <w:r>
        <w:t>항만·화물  (HIGH 1 / MEDIUM 4)</w:t>
      </w:r>
    </w:p>
    <w:p>
      <w:r>
        <w:rPr>
          <w:b/>
        </w:rPr>
        <w:t>🇰🇷 국내 영향</w:t>
      </w:r>
    </w:p>
    <w:p>
      <w:r>
        <w:t>흑해에서 러시아·우크라이나 교전이 격화되며 곡물 수출에 비상이 걸렸고, 국내 언론은 흑해가 '제2의 호르무즈'가 될 수 있다고 보도했다[22]. 울산 기업의 수입화물 중 83%가 울산항을 이용하는 것으로 나타났으며[23], 울산항은 해상환적 부두 확대를 추진 중이다[26]. 여수·광양항에서는 안전 사각지대에 대한 집중 단속이 실시됐고[24], 군산항 1·2부두는 준설 예산 부족으로 하역 폐지 위기에 처한 것으로 보도됐다[25].</w:t>
      </w:r>
    </w:p>
    <w:p>
      <w:pPr>
        <w:pStyle w:val="Heading3"/>
      </w:pPr>
      <w:r>
        <w:t>경제·금융  (HIGH 0 / MEDIUM 37)</w:t>
      </w:r>
    </w:p>
    <w:p>
      <w:r>
        <w:rPr>
          <w:b/>
        </w:rPr>
        <w:t>🌐 해외 상황</w:t>
      </w:r>
    </w:p>
    <w:p>
      <w:r>
        <w:t>아시아 가스 가격이 150일 만에 최고 수준으로 상승했으며[31], 남아프리카 단고테 정유소는 원유가 배럴당 94달러를 넘어서자 디젤 가격을 100나이라 인상했다[28]. 인도 증시(센섹스·니프티)는 미·이란 긴장, 국제유가, 미 연준 의장 발언을 이번 주 주요 변수로 주목하고 있으며[32][33][36], 미국 에너지부 장관은 미국 석유·가스 생산이 사상 최고치를 기록했다고 밝혔다[35]. 캐나다·미국 간 무역 갈등이 심화되며 양국 동맹 관계에 균열이 생기고 있다는 보도도 나왔다[34].</w:t>
      </w:r>
    </w:p>
    <w:p>
      <w:r>
        <w:rPr>
          <w:b/>
        </w:rPr>
        <w:t>🇰🇷 국내 영향</w:t>
      </w:r>
    </w:p>
    <w:p>
      <w:r>
        <w:t>정부는 석유제품 최고가격제를 9차 동결하고 4주 추가 연장했다[38][45]. 중동 불안으로 국제유가가 상승하는 가운데도 국내 주유소 휘발유 가격은 14주 연속 하락해 리터당 1,861원, 경유는 1,845원 수준을 기록했다[41][42][43]. 고유가 피해지원금 950억 원이 미사용 상태로 남아 있으며 8월 31일까지 사용하지 않으면 소멸된다[37][39]. 유가 상승으로 석유기업들이 횡재 이익을 누리자 EU 6개국이 과세 압박에 나서고 있다는 소식도 국내에 보도됐다[44].</w:t>
      </w:r>
    </w:p>
    <w:p>
      <w:pPr>
        <w:pStyle w:val="Heading3"/>
      </w:pPr>
      <w:r>
        <w:t>수산물  (HIGH 0 / MEDIUM 4)</w:t>
      </w:r>
    </w:p>
    <w:p>
      <w:r>
        <w:rPr>
          <w:b/>
        </w:rPr>
        <w:t>🇰🇷 국내 영향</w:t>
      </w:r>
    </w:p>
    <w:p>
      <w:r>
        <w:t>경남 지역에서 고수온으로 인한 양식어류 폐사가 누적 79만 8,000마리(약 80만 마리)에 달하는 것으로 집계됐다[47][48][49][50]. 이는 해상 공급망 이슈와 별개로 국내 수산물 공급에 영향을 줄 수 있는 독립적 피해 사안이다[47][50].</w:t>
      </w:r>
    </w:p>
    <w:p>
      <w:pPr>
        <w:pStyle w:val="Heading3"/>
      </w:pPr>
      <w:r>
        <w:t>해운  (HIGH 1 / MEDIUM 9)</w:t>
      </w:r>
    </w:p>
    <w:p>
      <w:r>
        <w:rPr>
          <w:b/>
        </w:rPr>
        <w:t>🌐 해외 상황</w:t>
      </w:r>
    </w:p>
    <w:p>
      <w:r>
        <w:t>호르무즈 해협에서 미국이 지원하는 오만 우회 루트를 통한 선박 통항이 급증하고 있으며[51], 새로운 데이터는 선박들이 이란의 통제를 무시하고 호르무즈를 통과하는 사례가 늘고 있음을 보여준다[52]. 한국과 인도는 중국의 북극 정기 서비스 개시 이후 북극 항로 전략을 검토 중이며[53], 한국 선박이 처음으로 북극 항로를 통해 유럽으로 출항했다[54].</w:t>
      </w:r>
    </w:p>
    <w:p>
      <w:r>
        <w:rPr>
          <w:b/>
        </w:rPr>
        <w:t>🇰🇷 국내 영향</w:t>
      </w:r>
    </w:p>
    <w:p>
      <w:r>
        <w:t>팬스타 컨테이너선이 북극항로 시범운항을 위해 출항했으며[58][60], 부산~유럽 간 북극 항로의 정시성과 화물 확보 가능성이 주목받고 있다[56][57]. 한화오션은 세계 최초로 돛을 장착한 LNG선을 출시해 연료를 12% 절감하는 성과를 발표했다[55]. 북극항로 컨테이너선 본격 출항과 함께 쇄빙연구선 아라온호의 북극해 입구 탐사 현황도 보도됐다[59].</w:t>
      </w:r>
    </w:p>
    <w:p>
      <w:pPr>
        <w:pStyle w:val="Heading3"/>
      </w:pPr>
      <w:r>
        <w:t>물류  (HIGH 0 / MEDIUM 3)</w:t>
      </w:r>
    </w:p>
    <w:p>
      <w:r>
        <w:rPr>
          <w:b/>
        </w:rPr>
        <w:t>🌐 해외 상황</w:t>
      </w:r>
    </w:p>
    <w:p>
      <w:r>
        <w:t>러시아 오렌부르크와 상트페테르부르크의 물류 시설에서 화재가 발생했다[61].</w:t>
      </w:r>
    </w:p>
    <w:p>
      <w:r>
        <w:rPr>
          <w:b/>
        </w:rPr>
        <w:t>🇰🇷 국내 영향</w:t>
      </w:r>
    </w:p>
    <w:p>
      <w:r>
        <w:t>현대자동차 노조가 10년 만에 전면 파업에 돌입해 5만 명이 공동 파업에 참여했으며, 이로 인해 자동차 공급망에 비상이 걸렸다[62][63]. 파업으로 인한 매출 손실이 이미 2조 원에 달하는 것으로 보도됐다[62].</w:t>
      </w:r>
    </w:p>
    <w:p>
      <w:pPr>
        <w:pStyle w:val="Heading3"/>
      </w:pPr>
      <w:r>
        <w:t>기타 산업  (HIGH 4 / MEDIUM 22)</w:t>
      </w:r>
    </w:p>
    <w:p>
      <w:r>
        <w:rPr>
          <w:b/>
        </w:rPr>
        <w:t>🌐 해외 상황</w:t>
      </w:r>
    </w:p>
    <w:p>
      <w:r>
        <w:t>전문가는 호르무즈가 재개통되더라도 페르시아만 석유 위기가 해결되지 않을 것이라고 경고했으며[64], 이란의 에너지 위기가 걸프 공급자들에게 기회를 열어주고 있다는 분석도 나왔다[65]. 이란은 파르스 주에서 7.5조 입방피트 규모의 대형 가스전을 발견했다고 발표했다[66]. 글로벌 에너지 위기가 미국·EU 정유소 충격으로 확대되고 있다는 보도가 있었으며[69], 인도는 호르무즈 교란에도 불구하고 라비 시즌 비료 공급이 차질 없이 진행되고 있다고 밝혔다[71]. 이란 사우스파르스 14단계 정유 시설 복구율이 70%에 달했다는 보도도 나왔다[72].</w:t>
      </w:r>
    </w:p>
    <w:p>
      <w:r>
        <w:rPr>
          <w:b/>
        </w:rPr>
        <w:t>🇰🇷 국내 영향</w:t>
      </w:r>
    </w:p>
    <w:p>
      <w:r>
        <w:t>국내 정유업계는 중동 원유 70% 조달 공식이 바뀌고 있다고 보도됐으며[74], 울산 석유화학 업계는 원료 공급망을 인도·미국으로 전환하는 움직임을 보이고 있다[75]. 미국의 대이란 봉쇄 강화로 중국 정유사의 원유 수급에 비상이 걸렸다는 소식도 국내에 보도됐다[76]. 울산은 최근 3년간 LNG 수입이 급증하며 에너지원 다변화가 진행 중이며[77], 대체 연료 수요 증가로 팜유 가격이 22% 상승했다[78]. 흑해 휴전 거부로 밀 선물 가격이 3% 반등했으며[80], 러·우크라이나 흑해 곡물 수출이 97% 중단됐다는 보도도 나왔다[81]. 트럼프의 대이란 압박을 위해 중국을 겨냥해야 하나 희토류 보복 우려로 딜레마에 처해 있다는 분석도 보도됐다[79].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1738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24</w:t>
            </w:r>
          </w:p>
        </w:tc>
        <w:tc>
          <w:tcPr>
            <w:tcW w:type="dxa" w:w="2946"/>
          </w:tcPr>
          <w:p>
            <w:r>
              <w:t>1.4%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156</w:t>
            </w:r>
          </w:p>
        </w:tc>
        <w:tc>
          <w:tcPr>
            <w:tcW w:type="dxa" w:w="2946"/>
          </w:tcPr>
          <w:p>
            <w:r>
              <w:t>9.0%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298</w:t>
            </w:r>
          </w:p>
        </w:tc>
        <w:tc>
          <w:tcPr>
            <w:tcW w:type="dxa" w:w="2946"/>
          </w:tcPr>
          <w:p>
            <w:r>
              <w:t>17.1%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1260</w:t>
            </w:r>
          </w:p>
        </w:tc>
        <w:tc>
          <w:tcPr>
            <w:tcW w:type="dxa" w:w="2946"/>
          </w:tcPr>
          <w:p>
            <w:r>
              <w:t>72.5%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