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2026-04-19</w:t>
      </w:r>
    </w:p>
    <w:p>
      <w:pPr>
        <w:jc w:val="center"/>
      </w:pPr>
      <w:r>
        <w:rPr>
          <w:color w:val="808080"/>
          <w:sz w:val="18"/>
        </w:rPr>
        <w:t>생성 모델: claude-sonnet-4-6  |  HIGH+MEDIUM 572건 (해외 253건 / 국내 319건)</w:t>
      </w:r>
    </w:p>
    <w:p/>
    <w:p>
      <w:pPr>
        <w:pStyle w:val="Heading2"/>
      </w:pPr>
      <w:r>
        <w:t>오늘의 핵심</w:t>
      </w:r>
    </w:p>
    <w:p>
      <w:r>
        <w:t>호르무즈 해협 재봉쇄가 지속되는 가운데 미·이란 간 2차 협상이 파키스탄 이슬라마바드에서 20일 재개될 예정이나, 이란은 미국의 해상봉쇄 유지 시 협상단을 보내지 않겠다고 압박하며 협상 성사 여부가 불투명한 상황이다. 호르무즈 해협 통과 선박이 한 자릿수로 급감하고 유조선 2척이 재차 회항하는 등 해협 기능이 사실상 마비 상태이며, 인도 국적 선박이 이란의 발포를 받는 등 물리적 충돌도 발생하고 있다. 국제 유가 급등락이 반복되는 가운데 국내 휘발유 평균 가격이 2,000원을 상회하며 러·우 전쟁 당시 56일보다 장기화될 것으로 전망되고, 식품 물가 상승률이 올해 말까지 10%에 육박할 것이라는 경고도 나왔다. 한화토탈이 나프타 11만 톤을 확보하고 호르무즈 봉쇄 후 첫 한국행 유조선이 울산항 입항을 앞두는 등 국내 업계의 긴급 대응이 이어지고 있으며, 정부 차원에서도 에너지 공급망 전략 전환 필요성이 제기되고 있다.</w:t>
      </w:r>
    </w:p>
    <w:p/>
    <w:p>
      <w:pPr>
        <w:pStyle w:val="Heading2"/>
      </w:pPr>
      <w:r>
        <w:t>카테고리별 분석</w:t>
      </w:r>
    </w:p>
    <w:p>
      <w:pPr>
        <w:pStyle w:val="Heading3"/>
      </w:pPr>
      <w:r>
        <w:t>안보·군사  (HIGH 198 / MEDIUM 202)</w:t>
      </w:r>
    </w:p>
    <w:p>
      <w:r>
        <w:rPr>
          <w:b/>
        </w:rPr>
        <w:t>🌐 해외 상황</w:t>
      </w:r>
    </w:p>
    <w:p>
      <w:r>
        <w:t>트럼프 대통령은 이란과의 협상이 파키스탄에서 이번 주 재개된다고 밝혔으나, 이란은 미국의 해상봉쇄가 유지되는 한 협상단을 보내지 않겠다는 입장을 고수하며 봉쇄를 휴전 위반으로 규정했다. 백악관은 이란의 호르무즈 해협 봉쇄 이후 긴급 상황실 회의를 소집했으며, 트럼프는 협상 불발 시 이란 발전소·교량 파괴를 경고했다. 이란은 호르무즈 외 다른 핵심 해협도 표적으로 삼을 수 있다고 신호를 보냈으며, 인도 국적 선박이 호르무즈에서 이란의 발포를 받는 사건이 발생해 물리적 충돌이 현실화됐다. 미국 해군의 봉쇄와 이란의 해협 폐쇄가 맞물리며 협상 타결 기대감이 약화되고 있는 것으로 보인다.</w:t>
      </w:r>
    </w:p>
    <w:p>
      <w:r>
        <w:rPr>
          <w:b/>
        </w:rPr>
        <w:t>🇰🇷 국내 영향</w:t>
      </w:r>
    </w:p>
    <w:p>
      <w:r>
        <w:t>이재명 대표가 호르무즈 교란 상황의 긴박성을 배경으로 인도를 방문해 전략적 유대 강화에 나섰다. 국내 언론은 미·이란 간 상호 휴전 위반 비난과 호르무즈 재봉쇄로 긴장이 고조되고 있음을 집중 보도하며, 2차 종전협상 성사 여부에 주목하고 있다. 이란이 봉쇄 해제 전 협상 불가 입장을 유지함에 따라 사태 장기화 가능성이 높아지고 있으며, 한국 정부의 에너지 공급망 외교가 시험대에 오른 것으로 평가된다.</w:t>
      </w:r>
    </w:p>
    <w:p>
      <w:pPr>
        <w:pStyle w:val="Heading3"/>
      </w:pPr>
      <w:r>
        <w:t>운임·물류비  (HIGH 9 / MEDIUM 13)</w:t>
      </w:r>
    </w:p>
    <w:p>
      <w:r>
        <w:rPr>
          <w:b/>
        </w:rPr>
        <w:t>🌐 해외 상황</w:t>
      </w:r>
    </w:p>
    <w:p>
      <w:r>
        <w:t>호르무즈 해협 통과 선박 수가 한 자릿수로 급감하며 해협 기능이 사실상 마비 상태에 빠졌다. 인도네시아 국영 에너지기업 페르타미나 소속 유조선 2척이 호르무즈 봉쇄 조치로 발이 묶인 상태이며, 방글라데시 에너지부 장관은 자국 수입 연료의 20~23%가 호르무즈를 통과한다고 밝혀 의존도를 공식 확인했다. 이집트는 아부다비 항만의 홍해 석유 저장시설 임대 제안을 검토 중인 것으로 보이며, 호르무즈 정상화 이후에도 물류 회복에 수개월이 소요될 것이라는 전망이 나왔다.</w:t>
      </w:r>
    </w:p>
    <w:p>
      <w:r>
        <w:rPr>
          <w:b/>
        </w:rPr>
        <w:t>🇰🇷 국내 영향</w:t>
      </w:r>
    </w:p>
    <w:p>
      <w:r>
        <w:t>이란 타스님 통신 등에 따르면 호르무즈 해협에서 유조선 2척이 재차 회항하는 사태가 반복되고 있으며, 텅 빈 유조선 행렬이 공급 차질 경고 신호로 해석되고 있다. 우정사업본부는 영세 수출기업의 해외 운송비 부담 완화를 위해 EMS 요금을 최대 6% 추가 할인하는 지원책을 시행했다. 호르무즈가 재개되더라도 정상화에 수개월이 걸릴 것으로 전망되며, 통행료 부과는 위법이라는 해석도 제기된 것으로 보인다.</w:t>
      </w:r>
    </w:p>
    <w:p>
      <w:pPr>
        <w:pStyle w:val="Heading3"/>
      </w:pPr>
      <w:r>
        <w:t>항만·화물  (HIGH 2 / MEDIUM 3)</w:t>
      </w:r>
    </w:p>
    <w:p>
      <w:r>
        <w:rPr>
          <w:b/>
        </w:rPr>
        <w:t>🌐 해외 상황</w:t>
      </w:r>
    </w:p>
    <w:p>
      <w:r>
        <w:t>이라크 남부 터미널에 몰타 국적 유조선이 원유 선적을 위해 입항했다는 보고가 있어 일부 원유 선적 활동은 지속되고 있는 것으로 보인다. 인도 비지힌잠 항구는 호르무즈 해협 봉쇄 이후 선박 통항량이 급증하는 현상을 보이고 있어 우회 항로 활용이 늘고 있는 것으로 보인다.</w:t>
      </w:r>
    </w:p>
    <w:p>
      <w:r>
        <w:rPr>
          <w:b/>
        </w:rPr>
        <w:t>🇰🇷 국내 영향</w:t>
      </w:r>
    </w:p>
    <w:p>
      <w:r>
        <w:t>호르무즈 봉쇄 이후 첫 한국행 유조선이 울산항 입항을 앞두고 있어 국내 정유업계의 원유 수급에 일부 숨통이 트일 가능성이 있다. 한화토탈은 나프타 11만 톤을 확보해 PX 공급 정상화를 앞당기겠다고 밝혔다. 부산항만공사는 로테르담에서 디지털 항만 전략을 공개하며 글로벌 협력을 확대하는 행보를 이어갔다.</w:t>
      </w:r>
    </w:p>
    <w:p>
      <w:pPr>
        <w:pStyle w:val="Heading3"/>
      </w:pPr>
      <w:r>
        <w:t>경제·금융  (HIGH 6 / MEDIUM 88)</w:t>
      </w:r>
    </w:p>
    <w:p>
      <w:r>
        <w:rPr>
          <w:b/>
        </w:rPr>
        <w:t>🌐 해외 상황</w:t>
      </w:r>
    </w:p>
    <w:p>
      <w:r>
        <w:t>이란 전쟁으로 50일간 500억 달러 상당의 원유 손실이 발생했으며, 글로벌 원유 공급이 5억 배럴 감소한 것으로 보도됐다. 항공유 공급 부족이 글로벌 항공 여행을 위협하고 있으며, 일부 항공사는 연료비 급등으로 항공편을 취소하고 있다. LA 항만 책임자는 이란 분쟁으로 연료비가 급등했다고 밝혔으며, 캐나다에서는 식품 공급업체들이 연료 할증료를 독립 식료품점에 전가하고 있는 것으로 나타났다.</w:t>
      </w:r>
    </w:p>
    <w:p>
      <w:r>
        <w:rPr>
          <w:b/>
        </w:rPr>
        <w:t>🇰🇷 국내 영향</w:t>
      </w:r>
    </w:p>
    <w:p>
      <w:r>
        <w:t>국내 평균 휘발유 가격이 2,000원을 상회하는 상태가 지속되고 있으며, 러·우 전쟁 당시 56일보다 장기화될 것이라는 전망이 나왔다. 지역별 기름값 고공행진이 서민 경제에 직격탄을 주고 있다는 평가가 이어지고 있으며, 국제 유가는 급등락을 반복하고 있다. 주간 증시 전망에서는 미·이란 종전 협상 결과가 시장 방향성을 결정할 핵심 변수로 지목됐으며, 일부에서는 AI 투자 사이클이 중동 리스크를 상쇄해 코스피 2분기 8,200선 진입 가능성을 제시했다. 이란 전쟁이 재정 여력이 부족한 개도국 경제에 직격탄이 되고 있다는 분석도 제기됐다.</w:t>
      </w:r>
    </w:p>
    <w:p>
      <w:pPr>
        <w:pStyle w:val="Heading3"/>
      </w:pPr>
      <w:r>
        <w:t>수산물  (HIGH 0 / MEDIUM 3)</w:t>
      </w:r>
    </w:p>
    <w:p>
      <w:r>
        <w:rPr>
          <w:b/>
        </w:rPr>
        <w:t>🇰🇷 국내 영향</w:t>
      </w:r>
    </w:p>
    <w:p>
      <w:r>
        <w:t>인천항만공사는 대중국 수산식품 수출 거점 항만으로의 도약을 목표로 물동량 확대 전략을 추진하고 있으며, 인천항의 인프라 강점을 활용한 수산물 수출 확대 방안을 모색하고 있는 것으로 보인다.</w:t>
      </w:r>
    </w:p>
    <w:p>
      <w:pPr>
        <w:pStyle w:val="Heading3"/>
      </w:pPr>
      <w:r>
        <w:t>해운  (HIGH 11 / MEDIUM 4)</w:t>
      </w:r>
    </w:p>
    <w:p>
      <w:r>
        <w:rPr>
          <w:b/>
        </w:rPr>
        <w:t>🌐 해외 상황</w:t>
      </w:r>
    </w:p>
    <w:p>
      <w:r>
        <w:t>인도 국적 유조선 데시 가리마(Desh Garima)가 이란의 발포 속에서 호르무즈를 통과해 4월 22일 뭄바이 도착이 예정됐으나, 다른 선박 2척은 발포로 인해 회항했다. MSC와 TUI 소속 선박도 호르무즈를 통과한 것으로 보고됐으며, 태국 화물선은 오만·이란 외교 협의를 통해 해협을 통과했다. 인도 정부는 자국 선박 피격 이후 이란에 우려를 공식 제기했으며, 케냐 보도에 따르면 이란 관리가 트럼프에게 '어리석은' 봉쇄 해제를 촉구하며 해협 내 선박 운항이 사실상 중단된 상태임을 확인했다.</w:t>
      </w:r>
    </w:p>
    <w:p>
      <w:r>
        <w:rPr>
          <w:b/>
        </w:rPr>
        <w:t>🇰🇷 국내 영향</w:t>
      </w:r>
    </w:p>
    <w:p>
      <w:r>
        <w:t>호르무즈 봉쇄 상황에서 한국행 유조선이 해협을 통과하는 장면이 국내 언론에 집중 보도되며 긴장감이 고조되고 있다. HD한국조선해양은 6,700억 원 규모의 VLGC 4척 수주를 발표했으며, K조선 업계는 전쟁 악재에도 LNG선 수주에는 이상이 없다는 입장을 밝혔다. 북극항로의 지속가능성 과제도 대안 항로 논의 맥락에서 주목받고 있는 것으로 보인다.</w:t>
      </w:r>
    </w:p>
    <w:p>
      <w:pPr>
        <w:pStyle w:val="Heading3"/>
      </w:pPr>
      <w:r>
        <w:t>물류  (HIGH 0 / MEDIUM 3)</w:t>
      </w:r>
    </w:p>
    <w:p>
      <w:r>
        <w:rPr>
          <w:b/>
        </w:rPr>
        <w:t>🇰🇷 국내 영향</w:t>
      </w:r>
    </w:p>
    <w:p>
      <w:r>
        <w:t>삼성전자 노조 파업이 K반도체 공급망 신뢰를 흔들 수 있다는 우려가 제기됐다. 현대글로비스는 미국 LA 복합물류센터와 서배너 통합창고를 오픈하며 글로벌 물류 거점 확대에 나섰다. 수출기업 위기에 대한 정부 지원책 모색이 필요하다는 사설이 제기되는 등 수출 물류 전반의 어려움이 부각되고 있다.</w:t>
      </w:r>
    </w:p>
    <w:p>
      <w:pPr>
        <w:pStyle w:val="Heading3"/>
      </w:pPr>
      <w:r>
        <w:t>기타 산업  (HIGH 3 / MEDIUM 26)</w:t>
      </w:r>
    </w:p>
    <w:p>
      <w:r>
        <w:rPr>
          <w:b/>
        </w:rPr>
        <w:t>🌐 해외 상황</w:t>
      </w:r>
    </w:p>
    <w:p>
      <w:r>
        <w:t>글로벌 원유 5억 배럴 부족 사태가 시장에 충격을 주고 있으며, 중동 전쟁으로 인한 공급망 교란이 말라위 등 개도국의 비료 가격 상승과 부족 사태로 이어져 식량 생산을 위협하고 있다. 아시아의 한 국가가 주목받던 해양 시추 입찰을 갑자기 취소했다가 수일 내 재개하는 등 에너지 개발 분야에서도 불확실성이 나타나고 있는 것으로 보인다.</w:t>
      </w:r>
    </w:p>
    <w:p>
      <w:r>
        <w:rPr>
          <w:b/>
        </w:rPr>
        <w:t>🇰🇷 국내 영향</w:t>
      </w:r>
    </w:p>
    <w:p>
      <w:r>
        <w:t>국내 식품 물가 상승률이 올해 말까지 10%에 육박할 것이라는 전망이 나왔으며, 이란 전쟁 불확실성 장기화로 '탈 중동' 긴급 플랜B 가속화 움직임이 나타나고 있다. 미국 항공사 청산 위기와 EU의 연료 6주분 잔여 비상 상황이 보도되는 가운데, 서부발전은 전략적 연료조달위원회를 개최해 중동 분쟁발 에너지 위기에 선제 대응에 나섰다. SK와 포스코는 LNG 가격 급등에도 안정적이라는 평가를 받고 있으며, 김정관 장관은 전쟁 종료 후에도 에너지 정상화에 시간이 걸릴 것이라며 공급망 전략 전환 필요성을 강조했다.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2220</w:t>
            </w:r>
          </w:p>
        </w:tc>
        <w:tc>
          <w:tcPr>
            <w:tcW w:type="dxa" w:w="2946"/>
          </w:tcPr>
          <w:p>
            <w:r>
              <w:t>100.0%</w:t>
            </w:r>
          </w:p>
        </w:tc>
      </w:tr>
      <w:tr>
        <w:tc>
          <w:tcPr>
            <w:tcW w:type="dxa" w:w="2946"/>
          </w:tcPr>
          <w:p>
            <w:r>
              <w:t>HIGH</w:t>
            </w:r>
          </w:p>
        </w:tc>
        <w:tc>
          <w:tcPr>
            <w:tcW w:type="dxa" w:w="2946"/>
          </w:tcPr>
          <w:p>
            <w:r>
              <w:t>229</w:t>
            </w:r>
          </w:p>
        </w:tc>
        <w:tc>
          <w:tcPr>
            <w:tcW w:type="dxa" w:w="2946"/>
          </w:tcPr>
          <w:p>
            <w:r>
              <w:t>10.3%</w:t>
            </w:r>
          </w:p>
        </w:tc>
      </w:tr>
      <w:tr>
        <w:tc>
          <w:tcPr>
            <w:tcW w:type="dxa" w:w="2946"/>
          </w:tcPr>
          <w:p>
            <w:r>
              <w:t>MEDIUM</w:t>
            </w:r>
          </w:p>
        </w:tc>
        <w:tc>
          <w:tcPr>
            <w:tcW w:type="dxa" w:w="2946"/>
          </w:tcPr>
          <w:p>
            <w:r>
              <w:t>343</w:t>
            </w:r>
          </w:p>
        </w:tc>
        <w:tc>
          <w:tcPr>
            <w:tcW w:type="dxa" w:w="2946"/>
          </w:tcPr>
          <w:p>
            <w:r>
              <w:t>15.5%</w:t>
            </w:r>
          </w:p>
        </w:tc>
      </w:tr>
      <w:tr>
        <w:tc>
          <w:tcPr>
            <w:tcW w:type="dxa" w:w="2946"/>
          </w:tcPr>
          <w:p>
            <w:r>
              <w:t>LOW</w:t>
            </w:r>
          </w:p>
        </w:tc>
        <w:tc>
          <w:tcPr>
            <w:tcW w:type="dxa" w:w="2946"/>
          </w:tcPr>
          <w:p>
            <w:r>
              <w:t>357</w:t>
            </w:r>
          </w:p>
        </w:tc>
        <w:tc>
          <w:tcPr>
            <w:tcW w:type="dxa" w:w="2946"/>
          </w:tcPr>
          <w:p>
            <w:r>
              <w:t>16.1%</w:t>
            </w:r>
          </w:p>
        </w:tc>
      </w:tr>
      <w:tr>
        <w:tc>
          <w:tcPr>
            <w:tcW w:type="dxa" w:w="2946"/>
          </w:tcPr>
          <w:p>
            <w:r>
              <w:t>NONE</w:t>
            </w:r>
          </w:p>
        </w:tc>
        <w:tc>
          <w:tcPr>
            <w:tcW w:type="dxa" w:w="2946"/>
          </w:tcPr>
          <w:p>
            <w:r>
              <w:t>1291</w:t>
            </w:r>
          </w:p>
        </w:tc>
        <w:tc>
          <w:tcPr>
            <w:tcW w:type="dxa" w:w="2946"/>
          </w:tcPr>
          <w:p>
            <w:r>
              <w:t>58.2%</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