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해상 공급망 모니터링 일일 분석 — 2026-06-14</w:t>
      </w:r>
    </w:p>
    <w:p>
      <w:pPr>
        <w:jc w:val="center"/>
      </w:pPr>
      <w:r>
        <w:rPr>
          <w:color w:val="808080"/>
          <w:sz w:val="18"/>
        </w:rPr>
        <w:t>생성 모델: claude-sonnet-4-6  |  HIGH+MEDIUM 215건 (해외 24건 / 국내 191건)</w:t>
      </w:r>
    </w:p>
    <w:p/>
    <w:p>
      <w:pPr>
        <w:pStyle w:val="Heading2"/>
      </w:pPr>
      <w:r>
        <w:t>오늘의 핵심</w:t>
      </w:r>
    </w:p>
    <w:p>
      <w:r>
        <w:t>미국과 이란이 호르무즈 해협 즉각 개방 및 농축 우라늄 이란 내 희석을 포함한 종전 MOU 최종안에 합의했으며, 트럼프 대통령은 6월 14일 서명 예정임을 밝혔다[11][14][18]. 합의 임박 소식에 국제유가는 3개월 만에 최저 수준으로 급락했고, 코스피 상승 여력 확대 기대감도 형성됐다[33][35]. 한편 IRGC는 여전히 선박들에 호르무즈 해협 통과를 경고하는 음성 메시지를 발송하고 있으며, 인도 선원 1명이 해협 내 억류 선박에서 사망하는 등 562명의 선원이 여전히 해협에 갇혀 있다[1][2][3]. 한국 정부는 호르무즈 봉쇄 이후 9번째 유조선의 홍해 우회 통과를 성공시키며 원유 수송을 지속하고 있고[42][44], 산업통상자원부 장관은 사우디아라비아를 방문해 원유·나프타 최우선 공급 약속을 재확인하고 에너지·광물·AI 분야 협력 MOU를 체결했다[22][25]. 영국은 영국해협에서 러시아 '그림자 함대' 유조선을 특수부대 승선 방식으로 나포하는 전례 없는 작전을 수행했다[6][8].</w:t>
      </w:r>
    </w:p>
    <w:p/>
    <w:p>
      <w:pPr>
        <w:pStyle w:val="Heading2"/>
      </w:pPr>
      <w:r>
        <w:t>카테고리별 분석</w:t>
      </w:r>
    </w:p>
    <w:p>
      <w:pPr>
        <w:pStyle w:val="Heading3"/>
      </w:pPr>
      <w:r>
        <w:t>안보·군사  (HIGH 51 / MEDIUM 114)</w:t>
      </w:r>
    </w:p>
    <w:p>
      <w:r>
        <w:rPr>
          <w:b/>
        </w:rPr>
        <w:t>🌐 해외 상황</w:t>
      </w:r>
    </w:p>
    <w:p>
      <w:r>
        <w:t>IRGC는 선박들에 호르무즈 해협 통과를 경고하는 음성 녹음을 새롭게 발송했으며[2][3][4], 해협 내 억류 선박에서 인도 선원 1명이 사망하고 562명의 선원이 여전히 갇혀 있는 상황이 보고됐다[1]. 영국은 영국해협에서 러시아 '그림자 함대' 유조선을 특수부대 승선 방식으로 나포하는 전례 없는 작전을 수행했으며, 스타머 총리가 직접 나포 명령을 내린 것으로 알려졌다[5][6][8]. 이스라엘군(IDF)이 미국인 사망 사건에 연루된 혐의를 받는 헤즈볼라 지도자를 제거하면서 이란-이스라엘 긴장이 지속되고 있다[9].</w:t>
      </w:r>
    </w:p>
    <w:p>
      <w:r>
        <w:rPr>
          <w:b/>
        </w:rPr>
        <w:t>🇰🇷 국내 영향</w:t>
      </w:r>
    </w:p>
    <w:p>
      <w:r>
        <w:t>미국과 이란이 호르무즈 즉각 개방 및 농축 우라늄 이란 내 희석을 포함한 종전 MOU 최종안에 합의했다는 보도가 복수 매체를 통해 전해졌다[11][14][15]. 트럼프 대통령은 이란과의 합의를 6월 14일 서명할 예정이라고 밝혔다[35]. 청와대는 미·이란 합의 타결로 호르무즈 해협 개방을 기대한다고 밝히며, 트럼프의 이란과의 종전 합의 노력을 지지하고 호르무즈 안전 항행을 위한 국제 공조를 촉구했다[12][13][16][20]. 동결 자금 33조 원 해제도 합의 내용에 포함된 것으로 보도됐다[18].</w:t>
      </w:r>
    </w:p>
    <w:p>
      <w:pPr>
        <w:pStyle w:val="Heading3"/>
      </w:pPr>
      <w:r>
        <w:t>해양안전  (HIGH 0 / MEDIUM 1)</w:t>
      </w:r>
    </w:p>
    <w:p>
      <w:r>
        <w:rPr>
          <w:b/>
        </w:rPr>
        <w:t>🌐 해외 상황</w:t>
      </w:r>
    </w:p>
    <w:p>
      <w:r>
        <w:t>인도 선원의 안전 문제가 제기됐다[21].</w:t>
      </w:r>
    </w:p>
    <w:p>
      <w:pPr>
        <w:pStyle w:val="Heading3"/>
      </w:pPr>
      <w:r>
        <w:t>항만·화물  (HIGH 6 / MEDIUM 2)</w:t>
      </w:r>
    </w:p>
    <w:p>
      <w:r>
        <w:rPr>
          <w:b/>
        </w:rPr>
        <w:t>🇰🇷 국내 영향</w:t>
      </w:r>
    </w:p>
    <w:p>
      <w:r>
        <w:t>산업통상자원부 김정관 장관은 사우디아라비아를 방문해 원유·나프타 최우선 공급 약속을 재확인했다[22][23][26]. 한국과 사우디아라비아는 원유·가스 협력 MOU를 체결하고 AI·광물 분야까지 협력을 확대하기로 했다[24][25][27]. 한국가스공사는 천연가스 공급망을 대폭 확충한다고 발표했다[29].</w:t>
      </w:r>
    </w:p>
    <w:p>
      <w:pPr>
        <w:pStyle w:val="Heading3"/>
      </w:pPr>
      <w:r>
        <w:t>경제·금융  (HIGH 2 / MEDIUM 20)</w:t>
      </w:r>
    </w:p>
    <w:p>
      <w:r>
        <w:rPr>
          <w:b/>
        </w:rPr>
        <w:t>🌐 해외 상황</w:t>
      </w:r>
    </w:p>
    <w:p>
      <w:r>
        <w:t>분석가들은 유가 완충 여력이 얇아지면서 석유 시장이 '붕괴 직전 수주 내'에 있다고 경고했다[30]. 반면 이란 전쟁이 당초 예상됐던 유가 충격을 일으키지 않은 이유에 대한 분석도 제기됐다[31].</w:t>
      </w:r>
    </w:p>
    <w:p>
      <w:r>
        <w:rPr>
          <w:b/>
        </w:rPr>
        <w:t>🇰🇷 국내 영향</w:t>
      </w:r>
    </w:p>
    <w:p>
      <w:r>
        <w:t>미·이란 종전 합의 임박 소식에 국제유가가 급락하며 3개월 만에 최저 수준을 기록했고, 주유소 기름값 추가 하락 가능성이 제기됐다[33][34]. 국제유가 안정으로 기름값이 4주 연속 하락했다[41]. 트럼프의 이란 합의 서명 예정 발표로 코스피 상승 여력 확대 기대감이 형성됐으며[35], 이란 휴전 기대와 FOMC가 코스피 8,000선 안착의 시험대로 거론됐다[36]. 유가 하락 전망으로 정유사 하반기 실적에 먹구름이 드리웠다는 분석도 나왔다[38]. 전쟁 발 에너지 대란에도 석탄 수입 단가는 하락한 것으로 나타났다[39]. 호르무즈 개방 이후에도 물가 불안이 지속될 수 있다는 우려도 제기됐다[37].</w:t>
      </w:r>
    </w:p>
    <w:p>
      <w:pPr>
        <w:pStyle w:val="Heading3"/>
      </w:pPr>
      <w:r>
        <w:t>해운  (HIGH 11 / MEDIUM 1)</w:t>
      </w:r>
    </w:p>
    <w:p>
      <w:r>
        <w:rPr>
          <w:b/>
        </w:rPr>
        <w:t>🇰🇷 국내 영향</w:t>
      </w:r>
    </w:p>
    <w:p>
      <w:r>
        <w:t>호르무즈 봉쇄 이후 9번째 한국 유조선이 홍해 우회 항로를 통해 원유를 수송하는 데 성공했다[42][43][44][45][46]. 정부는 원유 수송 안전 지원을 지속하고 있으며, 홍해 우회 운송 성공이 원유 수급 안정에 기여하고 있다[47][49][50].</w:t>
      </w:r>
    </w:p>
    <w:p>
      <w:pPr>
        <w:pStyle w:val="Heading3"/>
      </w:pPr>
      <w:r>
        <w:t>기타 산업  (HIGH 0 / MEDIUM 7)</w:t>
      </w:r>
    </w:p>
    <w:p>
      <w:r>
        <w:rPr>
          <w:b/>
        </w:rPr>
        <w:t>🇰🇷 국내 영향</w:t>
      </w:r>
    </w:p>
    <w:p>
      <w:r>
        <w:t>정유사와 주유소 모두 마진 압박으로 어려움을 호소하고 있으며, 소비 억제 효과도 한계점에 달했다는 지적이 나왔다[52]. 중국산 철강이 관세를 피해 반제품 형태로 국내에 유입되고 있는 것으로 보도됐다[58].</w:t>
      </w:r>
    </w:p>
    <w:p>
      <w:r>
        <w:br w:type="page"/>
      </w:r>
    </w:p>
    <w:p>
      <w:pPr>
        <w:pStyle w:val="Heading2"/>
      </w:pPr>
      <w:r>
        <w:t>통계 요약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</w:tcPr>
          <w:p>
            <w:r>
              <w:rPr>
                <w:b/>
              </w:rPr>
              <w:t>구분</w:t>
            </w:r>
          </w:p>
        </w:tc>
        <w:tc>
          <w:tcPr>
            <w:tcW w:type="dxa" w:w="2946"/>
          </w:tcPr>
          <w:p>
            <w:r>
              <w:rPr>
                <w:b/>
              </w:rPr>
              <w:t>건수</w:t>
            </w:r>
          </w:p>
        </w:tc>
        <w:tc>
          <w:tcPr>
            <w:tcW w:type="dxa" w:w="2946"/>
          </w:tcPr>
          <w:p>
            <w:r>
              <w:rPr>
                <w:b/>
              </w:rPr>
              <w:t>비중</w:t>
            </w:r>
          </w:p>
        </w:tc>
      </w:tr>
      <w:tr>
        <w:tc>
          <w:tcPr>
            <w:tcW w:type="dxa" w:w="2946"/>
          </w:tcPr>
          <w:p>
            <w:r>
              <w:t>총 수집</w:t>
            </w:r>
          </w:p>
        </w:tc>
        <w:tc>
          <w:tcPr>
            <w:tcW w:type="dxa" w:w="2946"/>
          </w:tcPr>
          <w:p>
            <w:r>
              <w:t>1862</w:t>
            </w:r>
          </w:p>
        </w:tc>
        <w:tc>
          <w:tcPr>
            <w:tcW w:type="dxa" w:w="2946"/>
          </w:tcPr>
          <w:p>
            <w:r>
              <w:t>100.0%</w:t>
            </w:r>
          </w:p>
        </w:tc>
      </w:tr>
      <w:tr>
        <w:tc>
          <w:tcPr>
            <w:tcW w:type="dxa" w:w="2946"/>
          </w:tcPr>
          <w:p>
            <w:r>
              <w:t>HIGH</w:t>
            </w:r>
          </w:p>
        </w:tc>
        <w:tc>
          <w:tcPr>
            <w:tcW w:type="dxa" w:w="2946"/>
          </w:tcPr>
          <w:p>
            <w:r>
              <w:t>70</w:t>
            </w:r>
          </w:p>
        </w:tc>
        <w:tc>
          <w:tcPr>
            <w:tcW w:type="dxa" w:w="2946"/>
          </w:tcPr>
          <w:p>
            <w:r>
              <w:t>3.8%</w:t>
            </w:r>
          </w:p>
        </w:tc>
      </w:tr>
      <w:tr>
        <w:tc>
          <w:tcPr>
            <w:tcW w:type="dxa" w:w="2946"/>
          </w:tcPr>
          <w:p>
            <w:r>
              <w:t>MEDIUM</w:t>
            </w:r>
          </w:p>
        </w:tc>
        <w:tc>
          <w:tcPr>
            <w:tcW w:type="dxa" w:w="2946"/>
          </w:tcPr>
          <w:p>
            <w:r>
              <w:t>145</w:t>
            </w:r>
          </w:p>
        </w:tc>
        <w:tc>
          <w:tcPr>
            <w:tcW w:type="dxa" w:w="2946"/>
          </w:tcPr>
          <w:p>
            <w:r>
              <w:t>7.8%</w:t>
            </w:r>
          </w:p>
        </w:tc>
      </w:tr>
      <w:tr>
        <w:tc>
          <w:tcPr>
            <w:tcW w:type="dxa" w:w="2946"/>
          </w:tcPr>
          <w:p>
            <w:r>
              <w:t>LOW</w:t>
            </w:r>
          </w:p>
        </w:tc>
        <w:tc>
          <w:tcPr>
            <w:tcW w:type="dxa" w:w="2946"/>
          </w:tcPr>
          <w:p>
            <w:r>
              <w:t>223</w:t>
            </w:r>
          </w:p>
        </w:tc>
        <w:tc>
          <w:tcPr>
            <w:tcW w:type="dxa" w:w="2946"/>
          </w:tcPr>
          <w:p>
            <w:r>
              <w:t>12.0%</w:t>
            </w:r>
          </w:p>
        </w:tc>
      </w:tr>
      <w:tr>
        <w:tc>
          <w:tcPr>
            <w:tcW w:type="dxa" w:w="2946"/>
          </w:tcPr>
          <w:p>
            <w:r>
              <w:t>NONE</w:t>
            </w:r>
          </w:p>
        </w:tc>
        <w:tc>
          <w:tcPr>
            <w:tcW w:type="dxa" w:w="2946"/>
          </w:tcPr>
          <w:p>
            <w:r>
              <w:t>1424</w:t>
            </w:r>
          </w:p>
        </w:tc>
        <w:tc>
          <w:tcPr>
            <w:tcW w:type="dxa" w:w="2946"/>
          </w:tcPr>
          <w:p>
            <w:r>
              <w:t>76.5%</w:t>
            </w:r>
          </w:p>
        </w:tc>
      </w:tr>
    </w:tbl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