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2026-03-31</w:t>
      </w:r>
    </w:p>
    <w:p>
      <w:pPr>
        <w:jc w:val="center"/>
      </w:pPr>
      <w:r>
        <w:rPr>
          <w:color w:val="808080"/>
          <w:sz w:val="18"/>
        </w:rPr>
        <w:t>생성 모델: claude-sonnet-4-6  |  HIGH+MEDIUM 32건 (해외 9건 / 국내 23건)</w:t>
      </w:r>
    </w:p>
    <w:p/>
    <w:p>
      <w:pPr>
        <w:pStyle w:val="Heading2"/>
      </w:pPr>
      <w:r>
        <w:t>오늘의 핵심</w:t>
      </w:r>
    </w:p>
    <w:p>
      <w:r>
        <w:t>이란 의회가 호르무즈 해협 통행료 징수안을 승인하면서 봉쇄 위기가 법제화 단계로 진입하였으며, 미국은 이를 '국제사회 수용 불가'로 규정하고 대립각을 세우고 있다. 이란·헤즈볼라 합동 공습으로 이스라엘 정유소가 폭격·대형 화재가 발생하는 등 중동 내 물리적 충돌이 에너지 인프라로 직접 확산되고 있다. 해상운임은 37% 급등 수준으로 보고되고 있으며, 한국은 러시아산 나프타 대체 조달로 전환을 시도하는 등 반도체·석유화학 공급망 교란에 대응 중이다. 영국 스타머 총리가 이란 전쟁발 경제위기 대응을 위해 긴급 코브라 회의를 소집하는 등 위기의 국제적 파장이 주요국 정부 차원의 비상대응으로 확대되고 있다.</w:t>
      </w:r>
    </w:p>
    <w:p/>
    <w:p>
      <w:pPr>
        <w:pStyle w:val="Heading2"/>
      </w:pPr>
      <w:r>
        <w:t>카테고리별 분석</w:t>
      </w:r>
    </w:p>
    <w:p>
      <w:pPr>
        <w:pStyle w:val="Heading3"/>
      </w:pPr>
      <w:r>
        <w:t>안보·군사  (HIGH 13 / MEDIUM 6)</w:t>
      </w:r>
    </w:p>
    <w:p>
      <w:r>
        <w:rPr>
          <w:b/>
        </w:rPr>
        <w:t>🌐 해외 상황</w:t>
      </w:r>
    </w:p>
    <w:p>
      <w:r>
        <w:t>이란 의회가 호르무즈 통행료 징수안을 공식 승인하였으며 미국은 이를 국제사회가 수용 불가한 조치로 규정하였다. 이란과 헤즈볼라의 합동 공습으로 이스라엘 정유소가 폭격되어 대형 화재가 발생하였고, 이란이 후티 반군에 홍해 공격을 압박하고 있다는 보도가 나오면서 홍해 추가 봉쇄 가능성도 제기되고 있다. 영국은 이란 전쟁이 경제위기를 촉발한다고 판단해 긴급 코브라 회의를 소집하였으며, 트럼프 전 대통령은 동맹국에 석유를 직접 확보하라고 촉구하며 기존 안보 지원 의지에 변화 가능성을 시사하였다.</w:t>
      </w:r>
    </w:p>
    <w:p>
      <w:r>
        <w:rPr>
          <w:b/>
        </w:rPr>
        <w:t>🇰🇷 국내 영향</w:t>
      </w:r>
    </w:p>
    <w:p>
      <w:r>
        <w:t>한국 이재명 대표가 에너지 상황에 보다 적극적인 대응이 필요하다고 발언하는 등 국내 정치권에서도 에너지·공급망 위기 대응 논의가 본격화되고 있다. 이란의 통행료 징수 법제화는 한국의 중동산 원유 수입 비용을 직접 상승시킬 가능성이 있으며, 에너지·공급망 쇼크 장기화 우려가 커지고 있다. 트럼프의 '동맹 지원 축소' 발언은 한국의 에너지 안보 자립도 강화 필요성을 부각시키는 신호로 해석될 수 있다.</w:t>
      </w:r>
    </w:p>
    <w:p>
      <w:pPr>
        <w:pStyle w:val="Heading3"/>
      </w:pPr>
      <w:r>
        <w:t>해양안전  (HIGH 1 / MEDIUM 0)</w:t>
      </w:r>
    </w:p>
    <w:p>
      <w:r>
        <w:rPr>
          <w:b/>
        </w:rPr>
        <w:t>🌐 해외 상황</w:t>
      </w:r>
    </w:p>
    <w:p>
      <w:r>
        <w:t>호르무즈 해협에서 화물선 마유리 나리 수색 작업 중 태국인 선원 3명이 실종된 채 발견되지 않고 있다. 해협 내 긴장 고조로 항행 안전 위협이 실제 인명 피해로 이어지고 있는 것으로 보인다.</w:t>
      </w:r>
    </w:p>
    <w:p>
      <w:r>
        <w:rPr>
          <w:b/>
        </w:rPr>
        <w:t>🇰🇷 국내 영향</w:t>
      </w:r>
    </w:p>
    <w:p>
      <w:r>
        <w:t>호르무즈 해협을 통항하는 한국 선박 및 선원의 안전 위협이 실질적으로 높아진 상황으로 보이며, 해당 해역 운항 선박에 대한 안전 대책 강화가 필요할 가능성이 있다.</w:t>
      </w:r>
    </w:p>
    <w:p>
      <w:pPr>
        <w:pStyle w:val="Heading3"/>
      </w:pPr>
      <w:r>
        <w:t>운임·물류비  (HIGH 3 / MEDIUM 1)</w:t>
      </w:r>
    </w:p>
    <w:p>
      <w:r>
        <w:rPr>
          <w:b/>
        </w:rPr>
        <w:t>🌐 해외 상황</w:t>
      </w:r>
    </w:p>
    <w:p>
      <w:r>
        <w:t>연료비 상승이 지속되면서 해운 비용이 전반적으로 증가하고 있다는 보도가 나왔다. 중동 분쟁 확대가 해운 비용 상승의 주요 구조적 원인으로 지목되고 있다.</w:t>
      </w:r>
    </w:p>
    <w:p>
      <w:r>
        <w:rPr>
          <w:b/>
        </w:rPr>
        <w:t>🇰🇷 국내 영향</w:t>
      </w:r>
    </w:p>
    <w:p>
      <w:r>
        <w:t>삼성SDS 보고에 따르면 해상운임이 37% 급등하였으며, 이에 AI 기반 디지털 물류 전환으로 대응을 시도하고 있다. 홍해 봉쇄 위기로 인천항 중고차 수출이 제동이 걸리는 등 수출 물류에 직접적 타격이 발생하고 있다. 수에즈~얀부 유조선 항로가 대안으로 주목받고 있어 운송 경로 다변화 움직임이 나타나고 있다.</w:t>
      </w:r>
    </w:p>
    <w:p>
      <w:pPr>
        <w:pStyle w:val="Heading3"/>
      </w:pPr>
      <w:r>
        <w:t>경제·금융  (HIGH 1 / MEDIUM 3)</w:t>
      </w:r>
    </w:p>
    <w:p>
      <w:r>
        <w:rPr>
          <w:b/>
        </w:rPr>
        <w:t>🌐 해외 상황</w:t>
      </w:r>
    </w:p>
    <w:p>
      <w:r>
        <w:t>유가 150달러 도달 시 아시아 경제를 위협할 것이라는 분석이 제기되었으며, 호주에서는 이미 휘발유가 40% 급등해 리터당 2,660원을 기록하고 있고 아프리카·유럽 일부 지역에서는 연료 품귀 현상이 나타나고 있다.</w:t>
      </w:r>
    </w:p>
    <w:p>
      <w:r>
        <w:rPr>
          <w:b/>
        </w:rPr>
        <w:t>🇰🇷 국내 영향</w:t>
      </w:r>
    </w:p>
    <w:p>
      <w:r>
        <w:t>중동 상황에 따라 환율이 요동치면서 수출입 업계가 긴장 속에 대응책 마련에 나서고 있다. 자영 주유소는 가격 인상 압박과 수급 불안으로 재고 확보에 나서는 모습이 나타나고 있다. 유가 150달러 시나리오는 에너지 수입 의존도가 높은 한국 경제에 큰 부담으로 작용할 가능성이 있다.</w:t>
      </w:r>
    </w:p>
    <w:p>
      <w:pPr>
        <w:pStyle w:val="Heading3"/>
      </w:pPr>
      <w:r>
        <w:t>수산물  (HIGH 0 / MEDIUM 1)</w:t>
      </w:r>
    </w:p>
    <w:p>
      <w:r>
        <w:rPr>
          <w:b/>
        </w:rPr>
        <w:t>🌐 해외 상황</w:t>
      </w:r>
    </w:p>
    <w:p>
      <w:r>
        <w:t>필리핀에서는 높은 연료비로 인해 성주간 기간 수산물 가격 상승 경고가 나왔다. 연료비 상승이 어업 비용을 높여 소비자 가격으로 전가될 가능성이 제기되고 있다.</w:t>
      </w:r>
    </w:p>
    <w:p>
      <w:r>
        <w:rPr>
          <w:b/>
        </w:rPr>
        <w:t>🇰🇷 국내 영향</w:t>
      </w:r>
    </w:p>
    <w:p>
      <w:r>
        <w:t>국내 수산물 관련 직접 기사는 없으나, 국제 연료비 상승 및 해상운임 급등이 수산물 수입 비용 증가로 이어질 가능성이 있다.</w:t>
      </w:r>
    </w:p>
    <w:p>
      <w:pPr>
        <w:pStyle w:val="Heading3"/>
      </w:pPr>
      <w:r>
        <w:t>기타 산업  (HIGH 3 / MEDIUM 0)</w:t>
      </w:r>
    </w:p>
    <w:p>
      <w:r>
        <w:rPr>
          <w:b/>
        </w:rPr>
        <w:t>🌐 해외 상황</w:t>
      </w:r>
    </w:p>
    <w:p>
      <w:r>
        <w:t>한국이 반도체 공급망의 중동 위기 대응을 위해 러시아산 나프타 조달로 전환하고 있다는 보도가 나왔다.</w:t>
      </w:r>
    </w:p>
    <w:p>
      <w:r>
        <w:rPr>
          <w:b/>
        </w:rPr>
        <w:t>🇰🇷 국내 영향</w:t>
      </w:r>
    </w:p>
    <w:p>
      <w:r>
        <w:t>제지업계는 원재료 및 운임 상승의 이중 부담이 가중되고 있다. 여수 석유화학산단은 위기 상황이 심화되면서 실질적인 정책 지원이 시급하다는 목소리가 나오고 있다. 러시아산 나프타 대체 조달은 단기적 공급망 안정에 기여할 수 있으나 지정학적 리스크를 수반하는 것으로 보인다.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79</w:t>
            </w:r>
          </w:p>
        </w:tc>
        <w:tc>
          <w:tcPr>
            <w:tcW w:type="dxa" w:w="2946"/>
          </w:tcPr>
          <w:p>
            <w:r>
              <w:t>100.0%</w:t>
            </w:r>
          </w:p>
        </w:tc>
      </w:tr>
      <w:tr>
        <w:tc>
          <w:tcPr>
            <w:tcW w:type="dxa" w:w="2946"/>
          </w:tcPr>
          <w:p>
            <w:r>
              <w:t>HIGH</w:t>
            </w:r>
          </w:p>
        </w:tc>
        <w:tc>
          <w:tcPr>
            <w:tcW w:type="dxa" w:w="2946"/>
          </w:tcPr>
          <w:p>
            <w:r>
              <w:t>21</w:t>
            </w:r>
          </w:p>
        </w:tc>
        <w:tc>
          <w:tcPr>
            <w:tcW w:type="dxa" w:w="2946"/>
          </w:tcPr>
          <w:p>
            <w:r>
              <w:t>26.6%</w:t>
            </w:r>
          </w:p>
        </w:tc>
      </w:tr>
      <w:tr>
        <w:tc>
          <w:tcPr>
            <w:tcW w:type="dxa" w:w="2946"/>
          </w:tcPr>
          <w:p>
            <w:r>
              <w:t>MEDIUM</w:t>
            </w:r>
          </w:p>
        </w:tc>
        <w:tc>
          <w:tcPr>
            <w:tcW w:type="dxa" w:w="2946"/>
          </w:tcPr>
          <w:p>
            <w:r>
              <w:t>11</w:t>
            </w:r>
          </w:p>
        </w:tc>
        <w:tc>
          <w:tcPr>
            <w:tcW w:type="dxa" w:w="2946"/>
          </w:tcPr>
          <w:p>
            <w:r>
              <w:t>13.9%</w:t>
            </w:r>
          </w:p>
        </w:tc>
      </w:tr>
      <w:tr>
        <w:tc>
          <w:tcPr>
            <w:tcW w:type="dxa" w:w="2946"/>
          </w:tcPr>
          <w:p>
            <w:r>
              <w:t>LOW</w:t>
            </w:r>
          </w:p>
        </w:tc>
        <w:tc>
          <w:tcPr>
            <w:tcW w:type="dxa" w:w="2946"/>
          </w:tcPr>
          <w:p>
            <w:r>
              <w:t>17</w:t>
            </w:r>
          </w:p>
        </w:tc>
        <w:tc>
          <w:tcPr>
            <w:tcW w:type="dxa" w:w="2946"/>
          </w:tcPr>
          <w:p>
            <w:r>
              <w:t>21.5%</w:t>
            </w:r>
          </w:p>
        </w:tc>
      </w:tr>
      <w:tr>
        <w:tc>
          <w:tcPr>
            <w:tcW w:type="dxa" w:w="2946"/>
          </w:tcPr>
          <w:p>
            <w:r>
              <w:t>NONE</w:t>
            </w:r>
          </w:p>
        </w:tc>
        <w:tc>
          <w:tcPr>
            <w:tcW w:type="dxa" w:w="2946"/>
          </w:tcPr>
          <w:p>
            <w:r>
              <w:t>30</w:t>
            </w:r>
          </w:p>
        </w:tc>
        <w:tc>
          <w:tcPr>
            <w:tcW w:type="dxa" w:w="2946"/>
          </w:tcPr>
          <w:p>
            <w:r>
              <w:t>38.0%</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