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2026-06-17</w:t>
      </w:r>
    </w:p>
    <w:p>
      <w:pPr>
        <w:jc w:val="center"/>
      </w:pPr>
      <w:r>
        <w:rPr>
          <w:color w:val="808080"/>
          <w:sz w:val="18"/>
        </w:rPr>
        <w:t>생성 모델: claude-sonnet-4-6  |  HIGH+MEDIUM 506건 (해외 332건 / 국내 174건)</w:t>
      </w:r>
    </w:p>
    <w:p/>
    <w:p>
      <w:pPr>
        <w:pStyle w:val="Heading2"/>
      </w:pPr>
      <w:r>
        <w:t>오늘의 핵심</w:t>
      </w:r>
    </w:p>
    <w:p>
      <w:r>
        <w:t>미국과 이란이 14개 조항의 종전 양해각서(MOU) 초안을 공개하며 호르무즈 해협 재개방 합의가 가시화되고 있다[1][4][10]. MOU에는 이란의 원유 수출 즉시 재개, 제재 완화, 3,000억 달러(약 453조 원) 규모의 이란 재건 지원 펀드 조성이 포함되어 있으며[2][4][18], 이란은 60일간 호르무즈 해협 재개방을 약속한 것으로 알려졌다[5]. 합의 서명 전 이란 유조선 수척이 이미 미국 해상 봉쇄를 통과해 호르무즈를 빠져나갔으며[3][71][72], 이에 따라 브렌트유 가격이 3개월 최저치인 배럴당 75달러 수준으로 하락하고 골드만삭스와 모건스탠리가 유가 전망치를 하향 조정했다[52][53][56]. IEA는 합의가 유지될 경우 2027년 글로벌 석유 공급 과잉이 발생할 수 있다고 경고했으며[51][57], 한국 기업들이 3,000억 달러 이란 전후 투자 펀드의 참여 후보로 거론되고 있다[12].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81 / MEDIUM 218)</w:t>
      </w:r>
    </w:p>
    <w:p>
      <w:r>
        <w:rPr>
          <w:b/>
        </w:rPr>
        <w:t>🌐 해외 상황</w:t>
      </w:r>
    </w:p>
    <w:p>
      <w:r>
        <w:t>미국과 이란은 14개 조항으로 구성된 종전 MOU 초안을 공개했으며, 스위스에서 서명이 예정되어 있다[9][10][16]. MOU에는 호르무즈 해협 재개방, 이란의 우라늄 희석, 제재 완화, 3,000억 달러 규모의 이란 재건 지원 약속이 포함되어 있다[2][4][24]. 이란은 60일간 호르무즈 해협을 재개방하기로 약속했으며[5], 서명 즉시 이란산 원유 수출이 허용될 것이라고 미국 측 관리가 밝혔다[13]. 합의 서명 전 이란 선박 5척이 미국의 해상 봉쇄를 통과한 것으로 보고되었다[70].</w:t>
      </w:r>
    </w:p>
    <w:p>
      <w:r>
        <w:rPr>
          <w:b/>
        </w:rPr>
        <w:t>🇰🇷 국내 영향</w:t>
      </w:r>
    </w:p>
    <w:p>
      <w:r>
        <w:t>미·이란 휴전 합의가 한국에 새로운 과제를 제기하고 있다는 분석이 나왔다[11]. 한국 기업들이 3,000억 달러 이란 전후 투자 펀드의 참여 후보로 거론되고 있으며[12], 이란 동결 자산 약 150조 원 중 한국 관련 금액은 약 10조 원으로 추정된다[17]. 이 대통령은 호르무즈 안전 통항에 실질적으로 기여하겠다는 입장을 밝혔다[15]. UAE는 호르무즈 개방 여부와 관계없이 해협 의존도를 '제로'로 줄이는 방향을 추진하겠다고 밝혔다[14].</w:t>
      </w:r>
    </w:p>
    <w:p>
      <w:pPr>
        <w:pStyle w:val="Heading3"/>
      </w:pPr>
      <w:r>
        <w:t>해양안전  (HIGH 2 / MEDIUM 1)</w:t>
      </w:r>
    </w:p>
    <w:p>
      <w:r>
        <w:rPr>
          <w:b/>
        </w:rPr>
        <w:t>🌐 해외 상황</w:t>
      </w:r>
    </w:p>
    <w:p>
      <w:r>
        <w:t>인도 총리 모디는 G7 정상회의에서 호르무즈 해협 관련 공격으로 인도 선원 3명이 사망한 사건을 제기하며 인도 선원들의 안전을 촉구했다[22][23]. 모디 총리는 트럼프 대통령과의 회담에서도 인도 선원 안전 문제를 별도로 언급한 것으로 알려졌다[21].</w:t>
      </w:r>
    </w:p>
    <w:p>
      <w:pPr>
        <w:pStyle w:val="Heading3"/>
      </w:pPr>
      <w:r>
        <w:t>운임·물류비  (HIGH 4 / MEDIUM 12)</w:t>
      </w:r>
    </w:p>
    <w:p>
      <w:r>
        <w:rPr>
          <w:b/>
        </w:rPr>
        <w:t>🌐 해외 상황</w:t>
      </w:r>
    </w:p>
    <w:p>
      <w:r>
        <w:t>미·이란 평화 합의가 인도의 무역 활성화와 운임·물류비 절감으로 이어질 수 있다는 전망이 나왔다[28]. 호르무즈 재개방 시 걸프 지역의 억눌린 곡물 수요가 방출될 것으로 예상된다[27]. 이란 MOU에는 원유 수출 면제 조항과 3,000억 달러 개발 프레임워크가 포함되어 있다[24]. 발틱건화물지수(BDI)는 2일 연속 하락했으며[32], 케이프사이즈 선형이 전체 지수를 끌어내렸으나 울트라맥스·핸디사이즈 시장은 구조적 공급 긴축으로 운임이 상승하는 흐름을 보였다[29][30].</w:t>
      </w:r>
    </w:p>
    <w:p>
      <w:r>
        <w:rPr>
          <w:b/>
        </w:rPr>
        <w:t>🇰🇷 국내 영향</w:t>
      </w:r>
    </w:p>
    <w:p>
      <w:r>
        <w:t>미·이란 종전 MOU 초안에 호르무즈 통행료 관련 조항이 빠진 것으로 알려지며 향후 통행료 부과 가능성이 쟁점으로 부상했다[34]. 한 사설은 호르무즈 통행료 청구서가 곧 날아들 수 있다며 국익에 부합하는 공조 원칙 수립을 촉구했다[33]. 미·이란 종전 합의 이후 유류 할증료 인하 가능성이 제기되며 여름 성수기 여행 수요 회복 여부에 관심이 쏠리고 있다[35][37]. 반면 인천 여객선 유류할증료는 7월에도 최고 단계를 유지할 것으로 알려졌다[38]. HMM은 성수기를 앞두고 미주 노선 운임 인상을 단행했다[36].</w:t>
      </w:r>
    </w:p>
    <w:p>
      <w:pPr>
        <w:pStyle w:val="Heading3"/>
      </w:pPr>
      <w:r>
        <w:t>항만·화물  (HIGH 2 / MEDIUM 6)</w:t>
      </w:r>
    </w:p>
    <w:p>
      <w:r>
        <w:rPr>
          <w:b/>
        </w:rPr>
        <w:t>🌐 해외 상황</w:t>
      </w:r>
    </w:p>
    <w:p>
      <w:r>
        <w:t>미·이란 합의에 따라 호르무즈를 통한 원유 및 LNG 흐름이 서서히 재개될 것으로 전망된다[40]. 카타르 LNG 선단이 중동 해역으로 복귀하는 움직임이 선박 추적 데이터를 통해 확인되었다[41].</w:t>
      </w:r>
    </w:p>
    <w:p>
      <w:r>
        <w:rPr>
          <w:b/>
        </w:rPr>
        <w:t>🇰🇷 국내 영향</w:t>
      </w:r>
    </w:p>
    <w:p>
      <w:r>
        <w:t>부산항 물동량이 역대 최대치를 기록하며 환적 물동량 기준 세계 2위에 올랐다[44][45]. 당진 LNG터미널의 이용률이 27%에 불과해 추가 건설의 타당성에 의문이 제기되었다[46]. 김민재 차관은 동북아 LNG 허브터미널 공사 현장을 점검했다[47]. 가거도 뱃길 운항 차질로 신안군이 수산물 운송 및 생필품 공급 긴급 지원에 나섰다[42].</w:t>
      </w:r>
    </w:p>
    <w:p>
      <w:pPr>
        <w:pStyle w:val="Heading3"/>
      </w:pPr>
      <w:r>
        <w:t>경제·금융  (HIGH 17 / MEDIUM 102)</w:t>
      </w:r>
    </w:p>
    <w:p>
      <w:r>
        <w:rPr>
          <w:b/>
        </w:rPr>
        <w:t>🌐 해외 상황</w:t>
      </w:r>
    </w:p>
    <w:p>
      <w:r>
        <w:t>브렌트유 가격이 미·이란 휴전 합의 영향으로 3개월 최저치인 배럴당 75달러 수준까지 하락했으며[53], 골드만삭스는 브렌트유 전망치를 배럴당 80달러로 하향 조정했고 모건스탠리도 전망치를 낮췄다[52][56]. IEA는 호르무즈 재개방 이후 걸프 공급이 회복되면 2027년 글로벌 석유 시장에 대규모 공급 과잉이 발생할 수 있다고 경고했다[51][55][57]. OECD 석유 재고는 중동 공급 차질 여파로 1990년 이후 최저 수준으로 떨어진 상태다[50]. 한편 이라크는 호르무즈 재개방 시 원유 수출을 늘릴 준비를 하고 있다[25].</w:t>
      </w:r>
    </w:p>
    <w:p>
      <w:r>
        <w:rPr>
          <w:b/>
        </w:rPr>
        <w:t>🇰🇷 국내 영향</w:t>
      </w:r>
    </w:p>
    <w:p>
      <w:r>
        <w:t>미국이 MOU 서명 후 이란산 석유 제재를 완화할 것이라는 소식이 전해졌다[58]. IEA는 미·이란 종전 합의가 유지될 경우 내년 석유 시장이 공급 과잉으로 전환될 수 있다고 전망했다[59]. 한국은행 총재는 유가가 내려도 물가가 3% 안팎을 유지할 것이라고 밝히며 빅스텝 금리 인하 가능성을 일축했다[64]. 종전 합의에도 불구하고 고유가·고환율·고물가의 '3고' 현상이 지속될 수 있다는 우려가 제기되었다[63]. 코스피200 변동성지수가 80선 아래로 떨어지며 한국 증시 안정 신호로 해석되는 가운데[62], 코스피가 1만1,500까지 상승 가능하지만 8월 말~9월 초에 꺾일 수 있다는 전망도 나왔다[65].</w:t>
      </w:r>
    </w:p>
    <w:p>
      <w:pPr>
        <w:pStyle w:val="Heading3"/>
      </w:pPr>
      <w:r>
        <w:t>해운  (HIGH 18 / MEDIUM 11)</w:t>
      </w:r>
    </w:p>
    <w:p>
      <w:r>
        <w:rPr>
          <w:b/>
        </w:rPr>
        <w:t>🌐 해외 상황</w:t>
      </w:r>
    </w:p>
    <w:p>
      <w:r>
        <w:t>이란 원유 유조선 수척이 미국의 해상 봉쇄를 통과해 호르무즈 해협을 빠져나갔으며[71][72][73][77], 미국 해군 아파치 헬기가 호르무즈 해협 선박 통항 재개에 주요 역할을 한 것으로 알려졌다[76]. 트럼프 행정부는 더 많은 유조선이 호르무즈를 통과하도록 유도하는 방안을 검토 중이다[74]. 유조선들이 방향을 바꿔 호르무즈 재개방 전 중동으로 급히 복귀하는 움직임도 포착되었다[75]. 인도 선주들은 정부 지원을 요청하며 신중한 입장을 유지하고 있다[68].</w:t>
      </w:r>
    </w:p>
    <w:p>
      <w:r>
        <w:rPr>
          <w:b/>
        </w:rPr>
        <w:t>🇰🇷 국내 영향</w:t>
      </w:r>
    </w:p>
    <w:p>
      <w:r>
        <w:t>HMM은 유럽 최대 특수화물 전시회에 단독 부스로 참가하며 풍력 날개·플랜트 설비 등 특수화물 시장 공략을 강화하고 있다[81][82][83][84]. 부산 해수청은 한·일 항로 국제 여객선사 경영층 간담회를 개최했다[78]. 가거도 여객선 운항 축소로 주민들이 생계 타격을 호소하고 있다[79]. 북극항로위원회가 시범운항 이후 공식 출범했다[85].</w:t>
      </w:r>
    </w:p>
    <w:p>
      <w:pPr>
        <w:pStyle w:val="Heading3"/>
      </w:pPr>
      <w:r>
        <w:t>물류  (HIGH 1 / MEDIUM 0)</w:t>
      </w:r>
    </w:p>
    <w:p>
      <w:r>
        <w:rPr>
          <w:b/>
        </w:rPr>
        <w:t>🇰🇷 국내 영향</w:t>
      </w:r>
    </w:p>
    <w:p>
      <w:r>
        <w:t>한화오션이 러시아에 대한 선단 인도 차질로 비용 부담이 늘고 있는 것으로 알려졌다[86].</w:t>
      </w:r>
    </w:p>
    <w:p>
      <w:pPr>
        <w:pStyle w:val="Heading3"/>
      </w:pPr>
      <w:r>
        <w:t>기타 산업  (HIGH 0 / MEDIUM 31)</w:t>
      </w:r>
    </w:p>
    <w:p>
      <w:r>
        <w:rPr>
          <w:b/>
        </w:rPr>
        <w:t>🌐 해외 상황</w:t>
      </w:r>
    </w:p>
    <w:p>
      <w:r>
        <w:t>G7 정상들은 핵심 광물 분야에서 중국 의존도를 줄이기 위한 공급망 동맹 출범에 합의했다[89][94]. 중국은 희토류에 이어 태양광 장비에 대한 수출 통제를 추진하고 있으며 스페이스X와의 협상도 중단시킨 것으로 알려졌다[101][105]. 우크라이나 드론 공격으로 모스크바 정유시설이 타격을 받아 러시아 연료 부족이 심화되고 있다[88]. TotalEnergies는 사우디 정유시설이 2027년까지 완전 복구되지 않을 것이라고 밝혔다[90].</w:t>
      </w:r>
    </w:p>
    <w:p>
      <w:r>
        <w:rPr>
          <w:b/>
        </w:rPr>
        <w:t>🇰🇷 국내 영향</w:t>
      </w:r>
    </w:p>
    <w:p>
      <w:r>
        <w:t>중동전 종전 이후 국내 석유화학 업계가 고도화·구조개편에 나서고 있다[97]. 한국과 몽골은 핵심 광물 공급망 협력을 확대하고 CEPA 협상을 가속화하기로 했다[106]. G7의 핵심 광물 중국 의존도 감축 합의에 맞춰 국내에서도 전략 광물 비축 관련 입법 토론회가 열렸다[100][102]. K-스틸법 시행으로 포항이 저탄소 철강산업 거점으로 도약하는 계기를 마련했다[99].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2610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125</w:t>
            </w:r>
          </w:p>
        </w:tc>
        <w:tc>
          <w:tcPr>
            <w:tcW w:type="dxa" w:w="2946"/>
          </w:tcPr>
          <w:p>
            <w:r>
              <w:t>4.8%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381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455</w:t>
            </w:r>
          </w:p>
        </w:tc>
        <w:tc>
          <w:tcPr>
            <w:tcW w:type="dxa" w:w="2946"/>
          </w:tcPr>
          <w:p>
            <w:r>
              <w:t>17.4%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1649</w:t>
            </w:r>
          </w:p>
        </w:tc>
        <w:tc>
          <w:tcPr>
            <w:tcW w:type="dxa" w:w="2946"/>
          </w:tcPr>
          <w:p>
            <w:r>
              <w:t>63.2%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