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2026-05-29</w:t>
      </w:r>
    </w:p>
    <w:p>
      <w:pPr>
        <w:jc w:val="center"/>
      </w:pPr>
      <w:r>
        <w:rPr>
          <w:color w:val="808080"/>
          <w:sz w:val="18"/>
        </w:rPr>
        <w:t>생성 모델: claude-sonnet-4-6  |  HIGH+MEDIUM 387건 (해외 240건 / 국내 147건)</w:t>
      </w:r>
    </w:p>
    <w:p/>
    <w:p>
      <w:pPr>
        <w:pStyle w:val="Heading2"/>
      </w:pPr>
      <w:r>
        <w:t>오늘의 핵심</w:t>
      </w:r>
    </w:p>
    <w:p>
      <w:r>
        <w:t>트럼프 대통령이 이란에 핵 포기·호르무즈 개방·우라늄 비축 폐기를 요구하며 협상 타결이 임박한 것으로 보이나[1][2][8], 이란 의회 강경파는 호르무즈 통행 수수료 부과와 허가제를 주장하며 미국과 충돌을 재점화하고 있다[13][16][18][19]. 이란은 협상 타결이 없다고 밝히며 호르무즈 결정은 공동으로 이루어져야 한다고 주장했고[4], IRGC는 봉쇄가 지속될 경우 '완전한 파멸'을 경고했다[7]. 종전 기대감에 국제유가는 5월 한 달간 약 19~20% 하락하며 2020년 이후 최대 월간 낙폭을 기록했고[47][48][50], 코스피는 미·이란 종전 기대감에 사상 최고치를 경신했다[66]. 반면 중동 해운운임은 역대 최고인 4,462달러를 기록하고 SCFI는 1년 5개월 만에 2,500선을 회복하는 등[35][36] 해운 시장은 여전히 고운임 상태를 유지하고 있으며, 걸프 해역에는 약 2,000척의 선박이 통과를 대기 중인 것으로 알려졌다[27][28].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47 / MEDIUM 189)</w:t>
      </w:r>
    </w:p>
    <w:p>
      <w:r>
        <w:rPr>
          <w:b/>
        </w:rPr>
        <w:t>🌐 해외 상황</w:t>
      </w:r>
    </w:p>
    <w:p>
      <w:r>
        <w:t>트럼프 대통령은 이란에 핵 야망 포기, 호르무즈 즉각 개방, 우라늄 비축 폐기를 협상 조건으로 제시하며 오늘 중 결정을 내리겠다고 밝혔다[1][2][3]. 이란은 미국과 합의에 도달하지 못했다고 발표하며 호르무즈 결정은 공동으로 이루어져야 한다는 입장을 고수했고[4], 이란 대사는 호르무즈 통과 선박에 항행 서비스·보안·시설 이용료를 부과할 것이라고 밝혔다[25][26]. IRGC는 봉쇄가 지속될 경우 '완전한 파멸'을 초래하겠다고 경고했으며[7], 이란은 호르무즈에 미사일을 발사하며 무단 통항을 경고했다[17]. 인도는 걸프 위기 고조 속에 13척의 자국 선적 선박을 긴급 대피시키는 조치를 취했다[10].</w:t>
      </w:r>
    </w:p>
    <w:p>
      <w:r>
        <w:rPr>
          <w:b/>
        </w:rPr>
        <w:t>🇰🇷 국내 영향</w:t>
      </w:r>
    </w:p>
    <w:p>
      <w:r>
        <w:t>미국은 이란과의 휴전 협상 막바지 국면에서 이란 석유 수출 관련 선박 8척을 포함한 추가 제재를 단행했다[14][15]. 이란 의회 강경파와 안보위 대변인은 호르무즈 통행 수수료 납부와 허가 취득을 요구하며 통제권을 강조했고[13][16][18][19][20], 이는 한국 선박의 호르무즈 통항 비용 증가 가능성을 시사한다. 서울 증시는 중동 긴장 완화 기대감에 강세로 출발했다[11].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나이지리아 보니 정박지에서 선박 충돌로 기름 유출이 발생했으며, NSIB가 조사에 착수했다[21][22].</w:t>
      </w:r>
    </w:p>
    <w:p>
      <w:r>
        <w:rPr>
          <w:b/>
        </w:rPr>
        <w:t>🇰🇷 국내 영향</w:t>
      </w:r>
    </w:p>
    <w:p>
      <w:r>
        <w:t>한국 선사 관련 선박 폭발·화재 사고에 대해 Wallem 최고경영자가 '절대 받고 싶지 않은 전화'라고 언급하며 사고의 심각성을 전했다[23]. 정부는 2030년까지 해양사고 인명피해를 40% 감축하는 '해양안전문화 혁신방안'을 발표했다[24].</w:t>
      </w:r>
    </w:p>
    <w:p>
      <w:pPr>
        <w:pStyle w:val="Heading3"/>
      </w:pPr>
      <w:r>
        <w:t>운임·물류비  (HIGH 10 / MEDIUM 4)</w:t>
      </w:r>
    </w:p>
    <w:p>
      <w:r>
        <w:rPr>
          <w:b/>
        </w:rPr>
        <w:t>🌐 해외 상황</w:t>
      </w:r>
    </w:p>
    <w:p>
      <w:r>
        <w:t>이란 대사는 호르무즈 통과 선박에 항행 서비스·보안·시설 이용료를 부과할 것이라고 밝혔으며[25][26], 미국 재무장관 베센트는 약 2,000척의 선박이 걸프 통과를 대기 중이라고 밝혔다[27][28]. 드류리 컨테이너 지수는 40피트 컨테이너당 2,800달러로 3% 상승했다[29].</w:t>
      </w:r>
    </w:p>
    <w:p>
      <w:r>
        <w:rPr>
          <w:b/>
        </w:rPr>
        <w:t>🇰🇷 국내 영향</w:t>
      </w:r>
    </w:p>
    <w:p>
      <w:r>
        <w:t>중동 해운운임은 역대 최고인 4,462달러를 기록했으며 글로벌 운임은 5주 연속 상승했다[35]. SCFI는 1년 5개월 만에 2,500선을 회복했고[36], 컨테이너선은 조기 성수기에 진입한 반면 벌크·탱커는 숨 고르기 양상을 보이고 있다[37]. 이란 의회 강경파의 호르무즈 통행료 요구는 미국과의 충돌을 재점화하며 운임 추가 상승 압력으로 작용할 가능성이 있다[33][34]. 파나마 대통령은 운하 운영에 대한 미국의 압력을 부인하며 자체 결정을 강조했다[38].</w:t>
      </w:r>
    </w:p>
    <w:p>
      <w:pPr>
        <w:pStyle w:val="Heading3"/>
      </w:pPr>
      <w:r>
        <w:t>항만·화물  (HIGH 2 / MEDIUM 6)</w:t>
      </w:r>
    </w:p>
    <w:p>
      <w:r>
        <w:rPr>
          <w:b/>
        </w:rPr>
        <w:t>🌐 해외 상황</w:t>
      </w:r>
    </w:p>
    <w:p>
      <w:r>
        <w:t>일본의 4월 원유 수입량은 중동 전쟁 여파로 전월 대비 약 66% 급감했다[39]. 미국은 이란 전쟁 상황 속에서 처음으로 전략비축유(SPR)를 캘리포니아로 수송했다[40]. 호주 BHP 철광석 항만 노동자들이 파업에 돌입할 예정으로 하루 700만 호주달러의 손실이 예상된다[41][42]. 아랍에미리트 푸자이라의 연료유 재고는 이달 들어 31% 감소했다[43].</w:t>
      </w:r>
    </w:p>
    <w:p>
      <w:r>
        <w:rPr>
          <w:b/>
        </w:rPr>
        <w:t>🇰🇷 국내 영향</w:t>
      </w:r>
    </w:p>
    <w:p>
      <w:r>
        <w:t>한국 외교 당국은 카자흐스탄 고위급과 에너지·공급망을 논의하며 원유 도입 지원을 요청했다[44][45]. 일본이 후쿠시마 오염수 20차 방류를 다음 달 1일 개시할 예정인 가운데, 항만 우럭에서 기준치를 초과하는 세슘이 검출됐다[46].</w:t>
      </w:r>
    </w:p>
    <w:p>
      <w:pPr>
        <w:pStyle w:val="Heading3"/>
      </w:pPr>
      <w:r>
        <w:t>경제·금융  (HIGH 6 / MEDIUM 78)</w:t>
      </w:r>
    </w:p>
    <w:p>
      <w:r>
        <w:rPr>
          <w:b/>
        </w:rPr>
        <w:t>🌐 해외 상황</w:t>
      </w:r>
    </w:p>
    <w:p>
      <w:r>
        <w:t>국제유가는 미·이란 휴전 기대감에 5월 한 달간 약 19~20% 하락하며 2020년 이후 최대 월간 낙폭을 기록했다[47][48][50]. 브렌트유는 미·이란 잠정 휴전 합의 보도에 1% 이상 하락했으며[51][52], 호르무즈 재개방 기대감이 유가 하락을 주도하고 있다[52]. 반면 금 가격은 미·이란 전쟁 종식 가능성 속에 급등했고[54], 영국 중앙은행 총재는 이란 전쟁 불확실성 속에서 인플레이션 상승을 용인하는 것이 정당하다고 밝혔다[55].</w:t>
      </w:r>
    </w:p>
    <w:p>
      <w:r>
        <w:rPr>
          <w:b/>
        </w:rPr>
        <w:t>🇰🇷 국내 영향</w:t>
      </w:r>
    </w:p>
    <w:p>
      <w:r>
        <w:t>코스피는 미·이란 종전 기대감에 사상 최고치를 경신했으며[66], 삼성전자 시가총액은 2,000조 원 시대를 열었다[62]. 뉴욕 증시도 종전 기대감에 다우 0.33%, 나스닥 0.13% 상승 출발했고[59], 아시아 증시도 대체로 강세를 보였다[60]. 셰브런 CEO는 중동 전쟁 여파로 6~7월 유가 상승 압력이 더욱 커질 것이라고 경고했으며[63][64], 유가 향방은 트럼프의 서명 여부에 달린 것으로 분석된다[65]. 사우디아라비아는 7월 아시아향 원유 판매가를 추가 인하할 것으로 전망된다[58].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한국 활어 수출 업계가 항공 운송비의 70% 수준으로 비용을 절감하기 위해 해상 운송으로 전환하는 방안을 추진 중인 것으로 보인다[67].</w:t>
      </w:r>
    </w:p>
    <w:p>
      <w:pPr>
        <w:pStyle w:val="Heading3"/>
      </w:pPr>
      <w:r>
        <w:t>해운  (HIGH 5 / MEDIUM 7)</w:t>
      </w:r>
    </w:p>
    <w:p>
      <w:r>
        <w:rPr>
          <w:b/>
        </w:rPr>
        <w:t>🌐 해외 상황</w:t>
      </w:r>
    </w:p>
    <w:p>
      <w:r>
        <w:t>IRGC는 24척의 선박이 자국 해군 통제 하에 호르무즈를 통과했다고 밝혔으며[68], 5월 26일 기준 말레이시아 VLCC 1척을 포함한 선박들의 호르무즈 통과가 증가하고 있다[70]. 인도행 유조선 니소스 케로스호가 27만 톤의 원유를 싣고 호르무즈를 안전하게 통과했으며[71][72][73][75], 일부 탱커들은 AIS를 끈 채 '다크 항법'으로 해협을 탈출하고 있다[69]. EY 보고서는 인도가 호르무즈 해협 이외의 무역 항로를 다변화해야 한다고 권고했다[76].</w:t>
      </w:r>
    </w:p>
    <w:p>
      <w:r>
        <w:rPr>
          <w:b/>
        </w:rPr>
        <w:t>🇰🇷 국내 영향</w:t>
      </w:r>
    </w:p>
    <w:p>
      <w:r>
        <w:t>HMM의 나무호가 두바이에서 수리 작업에 돌입했으며 작업에 약 두 달이 소요될 전망으로, 수리 부담 증가와 실적 부진이 겹쳐 HMM의 고민이 깊어지고 있다[77][79]. 홍콩 OOCL은 메탄올 추진 2만 4,000TEU급 컨테이너선 1호를 인수했다[78].</w:t>
      </w:r>
    </w:p>
    <w:p>
      <w:pPr>
        <w:pStyle w:val="Heading3"/>
      </w:pPr>
      <w:r>
        <w:t>물류  (HIGH 1 / MEDIUM 0)</w:t>
      </w:r>
    </w:p>
    <w:p>
      <w:r>
        <w:rPr>
          <w:b/>
        </w:rPr>
        <w:t>🇰🇷 국내 영향</w:t>
      </w:r>
    </w:p>
    <w:p>
      <w:r>
        <w:t>중동 리스크로 인한 물류비 급등으로 울산시가 수출 기업 지원을 확대하는 방안을 추진 중이다[80].</w:t>
      </w:r>
    </w:p>
    <w:p>
      <w:pPr>
        <w:pStyle w:val="Heading3"/>
      </w:pPr>
      <w:r>
        <w:t>기타 산업  (HIGH 6 / MEDIUM 20)</w:t>
      </w:r>
    </w:p>
    <w:p>
      <w:r>
        <w:rPr>
          <w:b/>
        </w:rPr>
        <w:t>🌐 해외 상황</w:t>
      </w:r>
    </w:p>
    <w:p>
      <w:r>
        <w:t>필리핀은 호르무즈 봉쇄 이후 처음으로 이란산 원유 화물을 수령했다[81]. 인도 정부는 서아시아 공급 우려 속에 국영 연료 소매업체에 30일치 LPG 비축을 지시했다[82]. EU는 중동 분쟁이 장기화될 경우 수 주 내에 항공유 공급이 더욱 타이트해질 것이라고 경고했다[86]. 미국 FTC는 전쟁으로 인한 가격 급등 속에 비료 가격 조사에 착수했다[88]. 중국은 흑연 수출 규제를 강화하는 움직임을 보이고 있으며 이는 글로벌 산업 전반에 파급 효과를 미칠 가능성이 있다[90].</w:t>
      </w:r>
    </w:p>
    <w:p>
      <w:r>
        <w:rPr>
          <w:b/>
        </w:rPr>
        <w:t>🇰🇷 국내 영향</w:t>
      </w:r>
    </w:p>
    <w:p>
      <w:r>
        <w:t>정부는 발전용 LNG 가격상한제 도입을 추진 중이며[92], 정유사들은 최고가격제 관련 4조 원 손실을 주장하며 정부와 손실 보전을 두고 줄다리기를 벌이고 있다[94]. 석유정제업은 생산·소비·투자 트리플 감소로 38년 만에 최대 낙폭을 기록했으며[95], 엑손·셰브런 등 석유업계는 석유 재고 고갈을 경고하고 있다[96]. 이스라엘의 이란 정유시설 공습으로 화산 폭발 수준의 이산화황이 2,000km 이상 확산된 것으로 보도됐다[97]. 중국의 텅스텐 수출 중단으로 일본 제조업이 비상 상황에 처했으며[98], K-석유화학은 중동 리스크 완화에도 불구하고 수익성 부담과 중국 공급과잉 문제가 지속되고 있다[99].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2978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77</w:t>
            </w:r>
          </w:p>
        </w:tc>
        <w:tc>
          <w:tcPr>
            <w:tcW w:type="dxa" w:w="2946"/>
          </w:tcPr>
          <w:p>
            <w:r>
              <w:t>2.6%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310</w:t>
            </w:r>
          </w:p>
        </w:tc>
        <w:tc>
          <w:tcPr>
            <w:tcW w:type="dxa" w:w="2946"/>
          </w:tcPr>
          <w:p>
            <w:r>
              <w:t>10.4%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431</w:t>
            </w:r>
          </w:p>
        </w:tc>
        <w:tc>
          <w:tcPr>
            <w:tcW w:type="dxa" w:w="2946"/>
          </w:tcPr>
          <w:p>
            <w:r>
              <w:t>14.5%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2160</w:t>
            </w:r>
          </w:p>
        </w:tc>
        <w:tc>
          <w:tcPr>
            <w:tcW w:type="dxa" w:w="2946"/>
          </w:tcPr>
          <w:p>
            <w:r>
              <w:t>72.5%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