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해상 공급망 모니터링 일일 분석 — 2026-07-14</w:t>
      </w:r>
    </w:p>
    <w:p>
      <w:pPr>
        <w:jc w:val="center"/>
      </w:pPr>
      <w:r>
        <w:rPr>
          <w:color w:val="808080"/>
          <w:sz w:val="18"/>
        </w:rPr>
        <w:t>생성 모델: claude-sonnet-4-6  |  HIGH+MEDIUM 544건 (해외 335건 / 국내 209건)</w:t>
      </w:r>
    </w:p>
    <w:p/>
    <w:p>
      <w:pPr>
        <w:pStyle w:val="Heading2"/>
      </w:pPr>
      <w:r>
        <w:t>오늘의 핵심</w:t>
      </w:r>
    </w:p>
    <w:p>
      <w:r>
        <w:t>트럼프 행정부가 호르무즈 해협 재봉쇄를 선언하고 통과 화물에 20% 통행료 부과 방침을 발표했으나[44][46], 발표 당일 이를 철회하고 걸프 국가들과의 무역·투자 협정으로 대체하는 방향으로 선회했다[9][39]. 미국은 사흘 연속 이란 공습을 단행했으며[13], 이란은 오만 앞바다에서 유조선 및 화학운반선을 공격해 인도인 선원 1명이 사망하는 등 민간 선박 피해가 발생했다[6][21][25]. 국제유가는 미-이란 충돌 격화로 4주 만에 최고치를 기록하며 하루 최대 10% 급등했고[67][74], 원·달러 환율도 1,497원대로 상승했다[79]. 한국 정부는 원유 수급 긴급 점검에 나섰으며 9월분 원유의 76%를 확보한 상태라고 밝혔고[56][59], 아시아 정유사들은 미국산 원유 매입을 재개하는 움직임을 보이고 있다[58]. 호르무즈 해협 선박 통항이 사실상 정체 수준으로 감소한 가운데[87][89], UAE는 해협을 우회하는 신규 항만 건설을 추진 중인 것으로 알려졌다[86][92].</w:t>
      </w:r>
    </w:p>
    <w:p/>
    <w:p>
      <w:pPr>
        <w:pStyle w:val="Heading2"/>
      </w:pPr>
      <w:r>
        <w:t>카테고리별 분석</w:t>
      </w:r>
    </w:p>
    <w:p>
      <w:pPr>
        <w:pStyle w:val="Heading3"/>
      </w:pPr>
      <w:r>
        <w:t>안보·군사  (HIGH 166 / MEDIUM 154)</w:t>
      </w:r>
    </w:p>
    <w:p>
      <w:r>
        <w:rPr>
          <w:b/>
        </w:rPr>
        <w:t>🌐 해외 상황</w:t>
      </w:r>
    </w:p>
    <w:p>
      <w:r>
        <w:t>미국은 사흘 연속 이란 공습을 단행했으며[2], 이란은 미국 기지를 타격하고 호르무즈 해협은 미국의 적대 행위를 통해 결코 재개되지 않을 것이라고 선언했다[1][5]. 트럼프 대통령은 호르무즈 재봉쇄와 함께 통과 선박에 20% 통행료 부과를 선언했다가[3], 이를 철회하고 걸프 국가들의 대미 무역·투자 협정으로 대체하며 이란을 제외한 모든 선박에 해협을 개방한다고 밝혔다[9]. 이란은 오만 LNG 터미널 인근에서 유조선을 공격했으며[6], 민간·상업 선박을 표적으로 삼고 있다는 보도가 나왔다[7]. 인도는 호르무즈 해역에서 인도인 선원이 사망한 사건과 관련해 이란 외교관을 초치했다[4][25].</w:t>
      </w:r>
    </w:p>
    <w:p>
      <w:r>
        <w:rPr>
          <w:b/>
        </w:rPr>
        <w:t>🇰🇷 국내 영향</w:t>
      </w:r>
    </w:p>
    <w:p>
      <w:r>
        <w:t>한국 외교부는 트럼프의 통행료 방침에 대해 찬반을 유보하며 신중한 입장을 취했다[12]. 트럼프 대통령은 추가 이란 공격을 예고하며 '오늘도, 내일도 때린다'고 발언했고[18], 이란은 미국의 '픽액스산' 공격 시 파괴적 대응과 미국·동맹국이 대가를 치를 것이라고 경고했다[20]. 미국의 수상 드론이 처음으로 실전에 투입되었으며 이란도 유조선 2척을 공격한 것으로 보도되었다[16].</w:t>
      </w:r>
    </w:p>
    <w:p>
      <w:pPr>
        <w:pStyle w:val="Heading3"/>
      </w:pPr>
      <w:r>
        <w:t>해양안전  (HIGH 6 / MEDIUM 7)</w:t>
      </w:r>
    </w:p>
    <w:p>
      <w:r>
        <w:rPr>
          <w:b/>
        </w:rPr>
        <w:t>🌐 해외 상황</w:t>
      </w:r>
    </w:p>
    <w:p>
      <w:r>
        <w:t>이란이 오만 LNG 터미널 인근에서 유조선을 공격했으며[6], UAE 유조선 2척이 피격되어 인도인 선원 1명이 사망하고 인도가 이란 외교관을 초치했다[21][25]. 미국 볼티모어 항구에서는 미 해군 예비 선박에 화재가 발생했다[22]. 우크라이나는 아조우해에서 러시아 그림자 함대 선박 11척을 추가 타격해 9일간 누적 116척을 타격했다고 밝혔다[23][24].</w:t>
      </w:r>
    </w:p>
    <w:p>
      <w:r>
        <w:rPr>
          <w:b/>
        </w:rPr>
        <w:t>🇰🇷 국내 영향</w:t>
      </w:r>
    </w:p>
    <w:p>
      <w:r>
        <w:t>오만 근해에서 선박 3척이 피격되었으며, 그 중 마지막 한 척은 네덜란드 스톨트 선박으로 확인되었다[26][27]. 스톨트 측은 기관실 화재가 발생했으나 선원은 무사하다고 밝혔고[28][30], 오만 인근에서 화학운반선도 피격되었으나 선원 전원 무사한 것으로 전해졌다[28]. 한국선급(KR)은 HD현대중공업과 암모니아 추진선 친환경성 검증 협력을 체결했으며[31][33], 국내 첫 친환경 선박 표준화 작업도 착수되었다[32].</w:t>
      </w:r>
    </w:p>
    <w:p>
      <w:pPr>
        <w:pStyle w:val="Heading3"/>
      </w:pPr>
      <w:r>
        <w:t>운임·물류비  (HIGH 42 / MEDIUM 16)</w:t>
      </w:r>
    </w:p>
    <w:p>
      <w:r>
        <w:rPr>
          <w:b/>
        </w:rPr>
        <w:t>🌐 해외 상황</w:t>
      </w:r>
    </w:p>
    <w:p>
      <w:r>
        <w:t>트럼프 행정부가 호르무즈 통과 화물에 20% 통행료 부과 계획을 발표했다가 당일 철회하고 걸프 국가들과의 무역·투자 협정으로 대체했다[35][37][39][40]. 하팍로이드(Hapag-Lloyd)는 호르무즈 화물 통행료 계획을 '근본적으로 잘못된 것'이라고 강하게 비판했으며[36][41], 글로벌 해운업계 전반이 해당 계획에 경보를 울렸다[42][43]. IMO도 트럼프의 호르무즈 통행료 계획에 단호히 반대 입장을 표명했다[52].</w:t>
      </w:r>
    </w:p>
    <w:p>
      <w:r>
        <w:rPr>
          <w:b/>
        </w:rPr>
        <w:t>🇰🇷 국내 영향</w:t>
      </w:r>
    </w:p>
    <w:p>
      <w:r>
        <w:t>트럼프의 20% 통행료 선언에 대해 국내 선박업계는 '노상강도'라고 강하게 반발했으며[51], 운송비가 2배로 오를 것이라는 전망도 제기되었다[53]. 이란도 20%는 과도하다는 입장을 밝혔다[50]. 통행료 방침은 결국 철회되었으나, 호르무즈 해협을 둘러싼 통항 정책의 불확실성이 지속되고 있는 것으로 보인다[44][45][46].</w:t>
      </w:r>
    </w:p>
    <w:p>
      <w:pPr>
        <w:pStyle w:val="Heading3"/>
      </w:pPr>
      <w:r>
        <w:t>항만·화물  (HIGH 5 / MEDIUM 2)</w:t>
      </w:r>
    </w:p>
    <w:p>
      <w:r>
        <w:rPr>
          <w:b/>
        </w:rPr>
        <w:t>🌐 해외 상황</w:t>
      </w:r>
    </w:p>
    <w:p>
      <w:r>
        <w:t>아시아 원유 수입국들이 호르무즈 리스크 심화에 따라 미국산 원유 공급으로 전환을 모색하고 있다[54]. 호주 글래드스톤 항구의 석탄 수출은 2025~26 회계연도에 증가한 것으로 나타났다[55].</w:t>
      </w:r>
    </w:p>
    <w:p>
      <w:r>
        <w:rPr>
          <w:b/>
        </w:rPr>
        <w:t>🇰🇷 국내 영향</w:t>
      </w:r>
    </w:p>
    <w:p>
      <w:r>
        <w:t>한국 정부는 9월분 원유의 76%를 확보했으며 유조선 3척이 곧 도착할 예정이라고 밝혔다[56]. 중동 정세 재악화에 따라 정부는 원유 수급 긴급 점검에 나섰으며 국제유가는 3%대 상승했다[59]. 호르무즈 리스크에 대응해 아시아 정유사들이 미국산 원유 매입을 재개하는 움직임이 나타나고 있다[58]. 항만물류협회는 해수부 황종우 장관에게 4대 현안을 건의했다[60].</w:t>
      </w:r>
    </w:p>
    <w:p>
      <w:pPr>
        <w:pStyle w:val="Heading3"/>
      </w:pPr>
      <w:r>
        <w:t>경제·금융  (HIGH 51 / MEDIUM 57)</w:t>
      </w:r>
    </w:p>
    <w:p>
      <w:r>
        <w:rPr>
          <w:b/>
        </w:rPr>
        <w:t>🌐 해외 상황</w:t>
      </w:r>
    </w:p>
    <w:p>
      <w:r>
        <w:t>국제유가는 미-이란 충돌 재격화로 4주 만에 최고치를 기록했으며[62][65][68], 하루 최대 5년 만에 가장 큰 일일 상승폭을 기록했다[67]. 브렌트유는 90달러에 근접한 수준까지 상승했다[70]. 미국의 이란 MoU 취소 이후 유가 상승세가 이어지고 있다[70].</w:t>
      </w:r>
    </w:p>
    <w:p>
      <w:r>
        <w:rPr>
          <w:b/>
        </w:rPr>
        <w:t>🇰🇷 국내 영향</w:t>
      </w:r>
    </w:p>
    <w:p>
      <w:r>
        <w:t>브렌트유가 4주 만에 최고치를 기록하는 등 유가가 10% 급등했으며[72][74], 뉴욕 다우 선물은 급락했다[75]. 원·달러 환율은 호르무즈 재봉쇄 여파로 1,497원대로 상승했다[79]. 뉴욕증시는 트럼프의 호르무즈 통행료 예고에 하락했으며[76], 국내 흥구석유 주가는 미-이란 해상 봉쇄 및 국제유가 상승 영향으로 19% 급등했다[77].</w:t>
      </w:r>
    </w:p>
    <w:p>
      <w:pPr>
        <w:pStyle w:val="Heading3"/>
      </w:pPr>
      <w:r>
        <w:t>수산물  (HIGH 0 / MEDIUM 5)</w:t>
      </w:r>
    </w:p>
    <w:p>
      <w:r>
        <w:rPr>
          <w:b/>
        </w:rPr>
        <w:t>🇰🇷 국내 영향</w:t>
      </w:r>
    </w:p>
    <w:p>
      <w:r>
        <w:t>경남 지역의 상반기 수산물 수출은 전년 대비 19.8% 증가해 1억 5,618만 달러를 기록했으며, 굴·고등어·명태가 주요 수출 품목으로 꼽혔다[81][82][83]. 반면 민어 어획량은 반토막 수준으로 감소해 신포시장 민어골목이 침울한 분위기를 보이고 있다[84]. 중국 어선의 횡포로 갈치잡이를 포기할 위기에 처한 상황도 보도되었다[85].</w:t>
      </w:r>
    </w:p>
    <w:p>
      <w:pPr>
        <w:pStyle w:val="Heading3"/>
      </w:pPr>
      <w:r>
        <w:t>해운  (HIGH 6 / MEDIUM 9)</w:t>
      </w:r>
    </w:p>
    <w:p>
      <w:r>
        <w:rPr>
          <w:b/>
        </w:rPr>
        <w:t>🌐 해외 상황</w:t>
      </w:r>
    </w:p>
    <w:p>
      <w:r>
        <w:t>호르무즈 해협의 선박 통항이 보안 위험으로 인해 사실상 정체 수준으로 감소했다[87][89]. 인도 선박 7척과 선원 148명이 페르시아만에 발이 묶인 상태이며[88], 캐나다 선박 2척도 약 5개월간 걸프에 머물다 탈출을 시도하고 있다[90]. UAE는 호르무즈 해협을 완전히 우회하는 신규 항만 건설을 위해 DP월드와 핵심 협상을 진행 중이며[92][93], 이에 수억 달러를 투자할 계획인 것으로 알려졌다[92]. 해협 우회 항로에 대한 관심이 급증하고 있다[91].</w:t>
      </w:r>
    </w:p>
    <w:p>
      <w:r>
        <w:rPr>
          <w:b/>
        </w:rPr>
        <w:t>🇰🇷 국내 영향</w:t>
      </w:r>
    </w:p>
    <w:p>
      <w:r>
        <w:t>우크라이나가 아조우해에서 러시아 선박 116척을 타격해 크림반도 보급로를 압박하고 있다[95][96]. 한국 사모펀드 선사의 해외 매각 문제와 에너지 안보 해법이 논의되고 있다[97]. 국내 조선 3사는 2분기 영업이익이 2조원에 육박할 것으로 전망되며, 고선가 효과로 전년 대비 80% 증가가 예상된다[98]. 북극항로 시범 운항 출항일은 다음 달 22일로 잠정 확정되었다[99].</w:t>
      </w:r>
    </w:p>
    <w:p>
      <w:pPr>
        <w:pStyle w:val="Heading3"/>
      </w:pPr>
      <w:r>
        <w:t>기타 산업  (HIGH 2 / MEDIUM 16)</w:t>
      </w:r>
    </w:p>
    <w:p>
      <w:r>
        <w:rPr>
          <w:b/>
        </w:rPr>
        <w:t>🌐 해외 상황</w:t>
      </w:r>
    </w:p>
    <w:p>
      <w:r>
        <w:t>예멘 긴장 고조가 글로벌 에너지 위기를 복잡하게 만들 수 있다는 분석이 나왔다[102]. 사우디 아람코의 해상 프로젝트 입찰이 핵심 단계에 도달했다[103][105]. 터키 마르마라에레을리시 LNG 터미널의 저장 용량이 확대될 예정이다[104]. 미국의 밀 수확량 전망치가 2015년 이후 최저 수준으로 하락했으며[106], 곡물 기말 재고 전망도 기대치를 하회했다[107].</w:t>
      </w:r>
    </w:p>
    <w:p>
      <w:r>
        <w:rPr>
          <w:b/>
        </w:rPr>
        <w:t>🇰🇷 국내 영향</w:t>
      </w:r>
    </w:p>
    <w:p>
      <w:r>
        <w:t>국내 에너지 시장은 석유 재고 감소와 호르무즈 재봉쇄가 겹치며 초비상 상태에 놓였다[109]. SK이노베이션은 상반기 영업이익만 4조원을 기록하며 정유·윤활유 부문이 실적을 견인했다[110]. S-Oil은 디젤 강세와 OSP 하락 수혜로 하반기 실적 개선이 기대된다[111]. 호주의 석유·가스 탐사 투자가 10년 만에 최고 수준으로 증가했으며[112], 국내에서는 울산 LNG 복합발전소 5호기 건설 추진[113] 및 호남 반도체 클러스터 LNG 발전 신설이 추진되고 있다[114]. 정유 4사는 SAF·수소·CCUS를 중심으로 탈탄소 성장 전략을 재편하고 있다[115].</w:t>
      </w:r>
    </w:p>
    <w:p>
      <w:r>
        <w:br w:type="page"/>
      </w:r>
    </w:p>
    <w:p>
      <w:pPr>
        <w:pStyle w:val="Heading2"/>
      </w:pPr>
      <w:r>
        <w:t>통계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946"/>
          </w:tcPr>
          <w:p>
            <w:r>
              <w:rPr>
                <w:b/>
              </w:rPr>
              <w:t>건수</w:t>
            </w:r>
          </w:p>
        </w:tc>
        <w:tc>
          <w:tcPr>
            <w:tcW w:type="dxa" w:w="2946"/>
          </w:tcPr>
          <w:p>
            <w:r>
              <w:rPr>
                <w:b/>
              </w:rPr>
              <w:t>비중</w:t>
            </w:r>
          </w:p>
        </w:tc>
      </w:tr>
      <w:tr>
        <w:tc>
          <w:tcPr>
            <w:tcW w:type="dxa" w:w="2946"/>
          </w:tcPr>
          <w:p>
            <w:r>
              <w:t>총 수집</w:t>
            </w:r>
          </w:p>
        </w:tc>
        <w:tc>
          <w:tcPr>
            <w:tcW w:type="dxa" w:w="2946"/>
          </w:tcPr>
          <w:p>
            <w:r>
              <w:t>2763</w:t>
            </w:r>
          </w:p>
        </w:tc>
        <w:tc>
          <w:tcPr>
            <w:tcW w:type="dxa" w:w="2946"/>
          </w:tcPr>
          <w:p>
            <w:r>
              <w:t>100.0%</w:t>
            </w:r>
          </w:p>
        </w:tc>
      </w:tr>
      <w:tr>
        <w:tc>
          <w:tcPr>
            <w:tcW w:type="dxa" w:w="2946"/>
          </w:tcPr>
          <w:p>
            <w:r>
              <w:t>HIGH</w:t>
            </w:r>
          </w:p>
        </w:tc>
        <w:tc>
          <w:tcPr>
            <w:tcW w:type="dxa" w:w="2946"/>
          </w:tcPr>
          <w:p>
            <w:r>
              <w:t>278</w:t>
            </w:r>
          </w:p>
        </w:tc>
        <w:tc>
          <w:tcPr>
            <w:tcW w:type="dxa" w:w="2946"/>
          </w:tcPr>
          <w:p>
            <w:r>
              <w:t>10.1%</w:t>
            </w:r>
          </w:p>
        </w:tc>
      </w:tr>
      <w:tr>
        <w:tc>
          <w:tcPr>
            <w:tcW w:type="dxa" w:w="2946"/>
          </w:tcPr>
          <w:p>
            <w:r>
              <w:t>MEDIUM</w:t>
            </w:r>
          </w:p>
        </w:tc>
        <w:tc>
          <w:tcPr>
            <w:tcW w:type="dxa" w:w="2946"/>
          </w:tcPr>
          <w:p>
            <w:r>
              <w:t>266</w:t>
            </w:r>
          </w:p>
        </w:tc>
        <w:tc>
          <w:tcPr>
            <w:tcW w:type="dxa" w:w="2946"/>
          </w:tcPr>
          <w:p>
            <w:r>
              <w:t>9.6%</w:t>
            </w:r>
          </w:p>
        </w:tc>
      </w:tr>
      <w:tr>
        <w:tc>
          <w:tcPr>
            <w:tcW w:type="dxa" w:w="2946"/>
          </w:tcPr>
          <w:p>
            <w:r>
              <w:t>LOW</w:t>
            </w:r>
          </w:p>
        </w:tc>
        <w:tc>
          <w:tcPr>
            <w:tcW w:type="dxa" w:w="2946"/>
          </w:tcPr>
          <w:p>
            <w:r>
              <w:t>375</w:t>
            </w:r>
          </w:p>
        </w:tc>
        <w:tc>
          <w:tcPr>
            <w:tcW w:type="dxa" w:w="2946"/>
          </w:tcPr>
          <w:p>
            <w:r>
              <w:t>13.6%</w:t>
            </w:r>
          </w:p>
        </w:tc>
      </w:tr>
      <w:tr>
        <w:tc>
          <w:tcPr>
            <w:tcW w:type="dxa" w:w="2946"/>
          </w:tcPr>
          <w:p>
            <w:r>
              <w:t>NONE</w:t>
            </w:r>
          </w:p>
        </w:tc>
        <w:tc>
          <w:tcPr>
            <w:tcW w:type="dxa" w:w="2946"/>
          </w:tcPr>
          <w:p>
            <w:r>
              <w:t>1844</w:t>
            </w:r>
          </w:p>
        </w:tc>
        <w:tc>
          <w:tcPr>
            <w:tcW w:type="dxa" w:w="2946"/>
          </w:tcPr>
          <w:p>
            <w:r>
              <w:t>66.7%</w:t>
            </w:r>
          </w:p>
        </w:tc>
      </w:tr>
    </w:tbl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