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2026-07-23</w:t>
      </w:r>
    </w:p>
    <w:p>
      <w:pPr>
        <w:jc w:val="center"/>
      </w:pPr>
      <w:r>
        <w:rPr>
          <w:color w:val="808080"/>
          <w:sz w:val="18"/>
        </w:rPr>
        <w:t>생성 모델: claude-sonnet-4-6  |  HIGH+MEDIUM 462건 (해외 252건 / 국내 210건)</w:t>
      </w:r>
    </w:p>
    <w:p/>
    <w:p>
      <w:pPr>
        <w:pStyle w:val="Heading2"/>
      </w:pPr>
      <w:r>
        <w:t>오늘의 핵심</w:t>
      </w:r>
    </w:p>
    <w:p>
      <w:r>
        <w:t>후티 반군이 홍해에서 사우디 유조선 2척을 공격하고 바브엘만데브 해협 봉쇄를 준비 중이라는 보도가 나오면서[2][6][4], 호르무즈에 이어 홍해까지 동시 마비 위기가 고조되고 있다[55]. 브렌트유는 5월 26일 이후 처음으로 배럴당 100달러를 돌파했으며[54][58][62], 트럼프 대통령은 후티가 선박을 재공격할 경우 이란 본토까지 군사적으로 응징하겠다고 경고했다[11][16][19]. 홍해·걸프 항로 전쟁위험 보험료가 급등하고[27][29], 유조선 4척이 항로를 우회하는 등 해상 물류 교란이 현실화되고 있다[67]. 국내에서는 브렌트유 100달러 돌파에 따른 유류할증료 인상 가능성이 제기되고[39], 현대글로비스는 중동 리스크로 2분기 영업이익이 전년 대비 8.1% 감소했다[80][81].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141 / MEDIUM 100)</w:t>
      </w:r>
    </w:p>
    <w:p>
      <w:r>
        <w:rPr>
          <w:b/>
        </w:rPr>
        <w:t>🌐 해외 상황</w:t>
      </w:r>
    </w:p>
    <w:p>
      <w:r>
        <w:t>후티 반군이 홍해에서 사우디 유조선 2척을 공격했으며[6][8], 이란이 후티에게 바브엘만데브 해협 봉쇄를 준비하도록 지시했다는 보도가 나왔다[4]. 트럼프 대통령은 후티의 선박 재공격 시 이란 본토를 타격하겠다고 경고했고[1][7], 미국은 이란에 대한 공습을 12일째 이어가고 있다[14]. 프랑스와 카타르는 후티의 사우디 선박 공격을 규탄하며 해상 안보 위협에 경고를 발했고[10], EU는 러시아산 원유 가격 상한 조정을 1년간 동결하고 탱커·정제 부문에 추가 제재를 부과했다[9].</w:t>
      </w:r>
    </w:p>
    <w:p>
      <w:r>
        <w:rPr>
          <w:b/>
        </w:rPr>
        <w:t>🇰🇷 국내 영향</w:t>
      </w:r>
    </w:p>
    <w:p>
      <w:r>
        <w:t>트럼프 대통령이 후티의 선박 재공격 시 이란과 후티 모두에 군사적 응징을 경고하면서[11][13][16][17][18], 중동 긴장이 한층 고조되고 있다. 국내 언론은 호르무즈에 이어 홍해까지 봉쇄될 경우 세계 원유 양대 동맥이 동시에 마비되는 최악의 시나리오를 보도하고 있다[55]. 미국의 이란 12일째 공습과 루비오 국무장관의 협상 관련 발언도 국내에서 주목받고 있다[14].</w:t>
      </w:r>
    </w:p>
    <w:p>
      <w:pPr>
        <w:pStyle w:val="Heading3"/>
      </w:pPr>
      <w:r>
        <w:t>해양안전  (HIGH 1 / MEDIUM 5)</w:t>
      </w:r>
    </w:p>
    <w:p>
      <w:r>
        <w:rPr>
          <w:b/>
        </w:rPr>
        <w:t>🌐 해외 상황</w:t>
      </w:r>
    </w:p>
    <w:p>
      <w:r>
        <w:t>홍해에서 유조선 1척이 피격됐다고 영국 해양기관이 확인했다[21]. 루마니아 인근 해상에서 우크라이나행 유조선이 화재로 필리핀 선원 1명이 사망했으며[24][25], 당국은 전쟁 연관 여부를 조사 중이다[25]. 흑해에서의 전쟁이 인도 선원들에게도 피해를 주고 있다는 보도가 나왔고[26], 어선에서 유독가스 비상사태가 발생한 사례도 보고됐다[22].</w:t>
      </w:r>
    </w:p>
    <w:p>
      <w:pPr>
        <w:pStyle w:val="Heading3"/>
      </w:pPr>
      <w:r>
        <w:t>운임·물류비  (HIGH 6 / MEDIUM 8)</w:t>
      </w:r>
    </w:p>
    <w:p>
      <w:r>
        <w:rPr>
          <w:b/>
        </w:rPr>
        <w:t>🌐 해외 상황</w:t>
      </w:r>
    </w:p>
    <w:p>
      <w:r>
        <w:t>홍해 항로 선박 보험료가 급등하고 있으며[27][28], 걸프 항로 전쟁위험 보험료도 지정학적 긴장 속에 급격히 상승했다[29][30]. 호르무즈와 바브엘만데브가 동시에 차단되면서 보험료 상승이 가속화되고 있다[28]. 발틱건화물운임지수(BDI)는 2725포인트로 10포인트 상승했고[34], 컨테이너 현물 운임은 공급 과잉 압력으로 하락세를 보이고 있다[33]. 파나마 운하는 엘니뇨 위험 속 화물 급증에 대응 중이다[35].</w:t>
      </w:r>
    </w:p>
    <w:p>
      <w:r>
        <w:rPr>
          <w:b/>
        </w:rPr>
        <w:t>🇰🇷 국내 영향</w:t>
      </w:r>
    </w:p>
    <w:p>
      <w:r>
        <w:t>사우디아라비아가 후티 위협에 대응해 이집트 항구를 통한 원유 수출을 확대하고 있다는 보도가 나왔다[37]. 유류할증료 재인상 가능성이 제기되고 있으며[39], 해양진흥공사와 KMI는 해상공급망 조기경보 AI 구축에 협력하기로 했다[38].</w:t>
      </w:r>
    </w:p>
    <w:p>
      <w:pPr>
        <w:pStyle w:val="Heading3"/>
      </w:pPr>
      <w:r>
        <w:t>항만·화물  (HIGH 2 / MEDIUM 2)</w:t>
      </w:r>
    </w:p>
    <w:p>
      <w:r>
        <w:rPr>
          <w:b/>
        </w:rPr>
        <w:t>🌐 해외 상황</w:t>
      </w:r>
    </w:p>
    <w:p>
      <w:r>
        <w:t>아람코는 후티 위협에 대응해 추가 원유 화물을 제공하겠다고 밝혔다[40]. 로테르담항은 호르무즈 사태 영향으로 2026년 상반기 물동량이 전년 대비 보합세를 기록했다[41].</w:t>
      </w:r>
    </w:p>
    <w:p>
      <w:r>
        <w:rPr>
          <w:b/>
        </w:rPr>
        <w:t>🇰🇷 국내 영향</w:t>
      </w:r>
    </w:p>
    <w:p>
      <w:r>
        <w:t>울산세관은 홍해 위기 확산에 따라 원유 공급망 대응을 강화하고 있다[42]. 젤렌스키 우크라이나 대통령은 러시아가 흑해 곡물 수출을 무력화하려 한다고 경고했다[43].</w:t>
      </w:r>
    </w:p>
    <w:p>
      <w:pPr>
        <w:pStyle w:val="Heading3"/>
      </w:pPr>
      <w:r>
        <w:t>경제·금융  (HIGH 39 / MEDIUM 104)</w:t>
      </w:r>
    </w:p>
    <w:p>
      <w:r>
        <w:rPr>
          <w:b/>
        </w:rPr>
        <w:t>🌐 해외 상황</w:t>
      </w:r>
    </w:p>
    <w:p>
      <w:r>
        <w:t>후티의 사우디 유조선 공격과 트럼프의 이란 응징 경고, 바브엘만데브 봉쇄 위협이 겹치면서 브렌트유가 배럴당 100달러를 돌파했다[44][45][46][47][48][50][51][52][53]. 이는 5월 이후 처음으로 100달러를 넘어선 것이며[46][50], 중동 분쟁이 글로벌 공급 우려를 자극하고 있다[51]. 노르웨이 원유 생산은 예상을 상회했으나 호르무즈 통과 물동량은 위기 수준 저점 근처에 머물고 있다[36].</w:t>
      </w:r>
    </w:p>
    <w:p>
      <w:r>
        <w:rPr>
          <w:b/>
        </w:rPr>
        <w:t>🇰🇷 국내 영향</w:t>
      </w:r>
    </w:p>
    <w:p>
      <w:r>
        <w:t>브렌트유가 미·이란 충돌과 홍해 유조선 피격 보도에 5월 26일 이후 처음으로 100달러를 돌파했다[54][58][61][62][63]. 국내 언론은 호르무즈와 홍해 양대 초크포인트 동시 마비 위기를 집중 보도하며 유가 추가 상승 가능성을 경고하고 있다[55][60]. 평화협정 효과가 두 달 만에 사라졌다는 분석도 나오고 있다[59].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원양산업이 위기를 맞고 있으며, 농어업특별위원회가 인력 유지 및 경영 안정 방안 검토에 착수했다[64].</w:t>
      </w:r>
    </w:p>
    <w:p>
      <w:pPr>
        <w:pStyle w:val="Heading3"/>
      </w:pPr>
      <w:r>
        <w:t>해운  (HIGH 6 / MEDIUM 7)</w:t>
      </w:r>
    </w:p>
    <w:p>
      <w:r>
        <w:rPr>
          <w:b/>
        </w:rPr>
        <w:t>🌐 해외 상황</w:t>
      </w:r>
    </w:p>
    <w:p>
      <w:r>
        <w:t>아시아 원유 구매자들이 사우디산 홍해 물량 우회 방안을 협의 중이며[65], 유조선 4척이 후티 경고로 홍해 항로를 이탈했다[67]. 후티는 홍해에서 유조선 2척을 되돌려 보냈고[66], 중국 초대형 유조선 2척은 사우디 원유를 싣고 바브엘만데브를 통해 홍해를 빠져나가고 있다[68][69]. DP월드는 호르무즈를 우회하는 UAE 동해안 신규 터미널 2개 건설 계획을 발표했다[72]. 흑해에서는 러시아 공격 우려로 선주들이 우크라이나 항구 기항을 중단하고 있다[71].</w:t>
      </w:r>
    </w:p>
    <w:p>
      <w:r>
        <w:rPr>
          <w:b/>
        </w:rPr>
        <w:t>🇰🇷 국내 영향</w:t>
      </w:r>
    </w:p>
    <w:p>
      <w:r>
        <w:t>트럼프 대통령이 한국 선박을 원하지만 미국 법이 걸림돌이 된다는 보도가 나왔다[73]. 한미 조선협력센터가 출범하며 1500억 달러 규모의 신속한 협력을 추진하고 있다[76]. 한화오션은 VLCC 수요 호조로 수혜를 받고 있으나 2028년 공급 과잉 우려도 제기됐다[74]. 케이조선 매각은 6월 무산 후 8월 재추진에 무게가 실리고 있다[77].</w:t>
      </w:r>
    </w:p>
    <w:p>
      <w:pPr>
        <w:pStyle w:val="Heading3"/>
      </w:pPr>
      <w:r>
        <w:t>물류  (HIGH 0 / MEDIUM 5)</w:t>
      </w:r>
    </w:p>
    <w:p>
      <w:r>
        <w:rPr>
          <w:b/>
        </w:rPr>
        <w:t>🇰🇷 국내 영향</w:t>
      </w:r>
    </w:p>
    <w:p>
      <w:r>
        <w:t>현대글로비스는 2분기 매출이 역대 최대를 기록했으나 중동 리스크로 영업이익이 전년 대비 8.1% 감소했고[80], 상반기 영업이익은 미·이란 전쟁 영향으로 2.3% 감소한 1조165억원을 기록했다[81]. 현대차는 2분기 매출이 49조2153억원으로 역대 최대를 달성했으나 부품사 공급 차질 속 수익성이 위축됐다[78][96].</w:t>
      </w:r>
    </w:p>
    <w:p>
      <w:pPr>
        <w:pStyle w:val="Heading3"/>
      </w:pPr>
      <w:r>
        <w:t>기타 산업  (HIGH 2 / MEDIUM 32)</w:t>
      </w:r>
    </w:p>
    <w:p>
      <w:r>
        <w:rPr>
          <w:b/>
        </w:rPr>
        <w:t>🌐 해외 상황</w:t>
      </w:r>
    </w:p>
    <w:p>
      <w:r>
        <w:t>카타르에너지는 LNG 불가항력을 연장하고 용선 계약을 체결했다[83]. 카자흐스탄은 우크라이나 드론의 흑해 유조선 공격으로 원유 생산을 감산했다[89][90]. WTO는 글로벌 비료 무역 충격에 가장 취약한 농업 경제국들을 지목했다[91]. 한국과 일본의 에틸렌 생산 능력은 중국 경쟁 심화로 계속 축소되고 있다[85].</w:t>
      </w:r>
    </w:p>
    <w:p>
      <w:r>
        <w:rPr>
          <w:b/>
        </w:rPr>
        <w:t>🇰🇷 국내 영향</w:t>
      </w:r>
    </w:p>
    <w:p>
      <w:r>
        <w:t>현대차는 2분기 매출이 역대 최대인 49조원을 기록했음에도 원자재 비용 상승으로 영업이익이 20.8% 감소했다[96][97][98][99][100][101]. 국내 정유 4사는 담합 논란 속에서도 정제마진 개선으로 2분기 실적이 양호할 것으로 보인다[95]. 전쟁·폭염·엘니뇨가 겹치면서 곡물 가격이 3년 만에 최고 수준으로 올랐다[93]. 여수 석유화학 구조재편 프로젝트가 가동에 들어갔다[102].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197</w:t>
            </w:r>
          </w:p>
        </w:tc>
        <w:tc>
          <w:tcPr>
            <w:tcW w:type="dxa" w:w="2946"/>
          </w:tcPr>
          <w:p>
            <w:r>
              <w:t>6.6%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265</w:t>
            </w:r>
          </w:p>
        </w:tc>
        <w:tc>
          <w:tcPr>
            <w:tcW w:type="dxa" w:w="2946"/>
          </w:tcPr>
          <w:p>
            <w:r>
              <w:t>8.9%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323</w:t>
            </w:r>
          </w:p>
        </w:tc>
        <w:tc>
          <w:tcPr>
            <w:tcW w:type="dxa" w:w="2946"/>
          </w:tcPr>
          <w:p>
            <w:r>
              <w:t>10.8%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2193</w:t>
            </w:r>
          </w:p>
        </w:tc>
        <w:tc>
          <w:tcPr>
            <w:tcW w:type="dxa" w:w="2946"/>
          </w:tcPr>
          <w:p>
            <w:r>
              <w:t>73.6%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