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2026-05-08</w:t>
      </w:r>
    </w:p>
    <w:p>
      <w:pPr>
        <w:jc w:val="center"/>
      </w:pPr>
      <w:r>
        <w:rPr>
          <w:color w:val="808080"/>
          <w:sz w:val="18"/>
        </w:rPr>
        <w:t>생성 모델: claude-sonnet-4-6  |  HIGH+MEDIUM 495건 (해외 224건 / 국내 271건)</w:t>
      </w:r>
    </w:p>
    <w:p/>
    <w:p>
      <w:pPr>
        <w:pStyle w:val="Heading2"/>
      </w:pPr>
      <w:r>
        <w:t>오늘의 핵심</w:t>
      </w:r>
    </w:p>
    <w:p>
      <w:r>
        <w:t>미군이 오만만에서 호르무즈 봉쇄 돌파를 시도한 이란 유조선 2척을 무력화하고 추가 폭격을 단행했으며[11][14][17], 이란은 미국의 제재 대상 유조선 '오션 코이(Ocean Koi)'를 걸프만에서 나포하는 등 미-이란 해상 충돌이 5월 8일 현재도 지속되고 있다[3][5][6]. 호르무즈 해협 통과는 5월 5일부터 전면 중단된 상태이며[7], 이란은 '해협청'을 신설해 호르무즈 통제권 강화에 나섰다[16][38]. 브렌트유는 미-이란 교전 재개로 배럴당 100달러를 돌파했고[44][50], JPMorgan은 갤런당 5달러 휘발유 위험을 경고했다[52]. 국내에서는 호르무즈 봉쇄 직전 탈출한 유조선 '오데사호'가 대산항에 입항했으며[78][80], HMM 나무호는 두바이항에 도착해 화재 원인 조사에 착수했다[24][26][29]. 머스크(Maersk)는 이란 전쟁으로 월 5억 달러의 추가 비용이 발생하고 있다고 밝혔으며[32], SCFI는 2주 연속 상승해 2,000선에 근접했다[40].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131 / MEDIUM 102)</w:t>
      </w:r>
    </w:p>
    <w:p>
      <w:r>
        <w:rPr>
          <w:b/>
        </w:rPr>
        <w:t>🌐 해외 상황</w:t>
      </w:r>
    </w:p>
    <w:p>
      <w:r>
        <w:t>미군은 오만만에서 호르무즈 봉쇄 돌파를 시도한 이란 유조선 2척을 무력화했으며[1][2], 이후 추가 유조선 여러 척에 대한 공습도 실시했다[9]. 이란은 미국의 제재 대상으로 이란산 HSFO를 운반 중이던 유조선 '오션 코이(Ocean Koi)'를 걸프만 작전을 통해 나포했다[5][6][10]. 호르무즈 해협 통과는 5월 5일부터 미-이란 충돌로 전면 중단된 상태이며[7], 미군은 이란의 해군 함정 3척에 대한 공격도 격퇴했다고 밝혔다[8]. 한편 호르무즈 재개 기대감이 아시아 증시를 끌어올리는 장면도 나타났다[4].</w:t>
      </w:r>
    </w:p>
    <w:p>
      <w:r>
        <w:rPr>
          <w:b/>
        </w:rPr>
        <w:t>🇰🇷 국내 영향</w:t>
      </w:r>
    </w:p>
    <w:p>
      <w:r>
        <w:t>미군의 이란 유조선 무력화 소식은 국내 주요 언론에 의해 다수 보도되었으며[11][12][13][14][15], 미군이 봉쇄 돌파 시도 선박을 추가 폭격했다는 보도도 이어졌다[17][18][19][20]. 이란은 주변국의 반발 속에서도 '해협청'을 신설해 호르무즈 통제권을 강화하고 있다[16]. 미-이란 충돌 과정에서 이란 선원 10명이 부상하고 5명이 실종된 것으로 전해졌다[12].</w:t>
      </w:r>
    </w:p>
    <w:p>
      <w:pPr>
        <w:pStyle w:val="Heading3"/>
      </w:pPr>
      <w:r>
        <w:t>해양안전  (HIGH 8 / MEDIUM 8)</w:t>
      </w:r>
    </w:p>
    <w:p>
      <w:r>
        <w:rPr>
          <w:b/>
        </w:rPr>
        <w:t>🌐 해외 상황</w:t>
      </w:r>
    </w:p>
    <w:p>
      <w:r>
        <w:t>호르무즈 위기 속에서 발이 묶인 선원들이 안전한 탈출로 없이 방치되고 있다는 우려가 제기되었다[21].</w:t>
      </w:r>
    </w:p>
    <w:p>
      <w:r>
        <w:rPr>
          <w:b/>
        </w:rPr>
        <w:t>🇰🇷 국내 영향</w:t>
      </w:r>
    </w:p>
    <w:p>
      <w:r>
        <w:t>HMM 나무호가 두바이항에 도착해 화재 원인에 대한 본격적인 수리 및 조사에 착수했다[24][25][26][27][29][30]. 한국 정부도 호르무즈 인근에서 발생한 선박 화재에 대한 전면 조사에 착수했으며[22][23], 나무호의 화재 원인이 외부 공격인지 선박 자체 결함인지 여부가 조사의 핵심 쟁점으로 부상했다[28]. 나무호 선박보험 조사도 시작되었으며, 보험 요율 상승 우려가 제기되고 있다[31].</w:t>
      </w:r>
    </w:p>
    <w:p>
      <w:pPr>
        <w:pStyle w:val="Heading3"/>
      </w:pPr>
      <w:r>
        <w:t>운임·물류비  (HIGH 6 / MEDIUM 3)</w:t>
      </w:r>
    </w:p>
    <w:p>
      <w:r>
        <w:rPr>
          <w:b/>
        </w:rPr>
        <w:t>🌐 해외 상황</w:t>
      </w:r>
    </w:p>
    <w:p>
      <w:r>
        <w:t>머스크(Maersk)는 이란 전쟁으로 인해 월 5억 달러의 추가 비용이 발생하고 있으며 이를 고객에게 전가하지 않으려 애쓰고 있다고 밝혔다[32]. 이란은 호르무즈 통과 선박에 대해 '통행료 납부 또는 공격 위험 감수'를 요구하는 엄격한 통행 프로토콜을 시행 중인 것으로 알려졌다[33]. LA·롱비치 항만에서는 선박 연료비가 수백만 달러 더 높아졌으며 이 비용이 항만에만 머물지 않을 것이라는 전망이 나왔다[34].</w:t>
      </w:r>
    </w:p>
    <w:p>
      <w:r>
        <w:rPr>
          <w:b/>
        </w:rPr>
        <w:t>🇰🇷 국내 영향</w:t>
      </w:r>
    </w:p>
    <w:p>
      <w:r>
        <w:t>골드만삭스는 호르무즈 운항 차질이 하반기까지 지속될 것으로 전망했다[35]. 한 달 전 호르무즈를 통과한 일본 상선은 통행료를 납부하지 않았다고 밝혔다[36]. 관세청은 중동 위기 극복을 위한 수입 운임 특례를 시행했으며[37], 이란은 페르시아만 해협청을 출범시켜 호르무즈 통과 선박에 대한 심사 및 세금 부과를 공식화했다[38]. SCFI는 2주 연속 상승하며 2,000선에 근접했다[40].</w:t>
      </w:r>
    </w:p>
    <w:p>
      <w:pPr>
        <w:pStyle w:val="Heading3"/>
      </w:pPr>
      <w:r>
        <w:t>항만·화물  (HIGH 1 / MEDIUM 2)</w:t>
      </w:r>
    </w:p>
    <w:p>
      <w:r>
        <w:rPr>
          <w:b/>
        </w:rPr>
        <w:t>🇰🇷 국내 영향</w:t>
      </w:r>
    </w:p>
    <w:p>
      <w:r>
        <w:t>송영길 의원은 러시아산 나프타·원유 도입을 국회에서 가장 먼저 처리하겠다고 밝혔다[41]. 울산항은 북극항로 시대를 앞두고 탄소중립 선점을 위한 친환경 벙커링 인프라 구축에 속도를 내고 있으며[42], UPA는 탄소중립 항만 포럼을 개최해 에너지 공급망 역할 재정립을 논의했다[43].</w:t>
      </w:r>
    </w:p>
    <w:p>
      <w:pPr>
        <w:pStyle w:val="Heading3"/>
      </w:pPr>
      <w:r>
        <w:t>경제·금융  (HIGH 8 / MEDIUM 154)</w:t>
      </w:r>
    </w:p>
    <w:p>
      <w:r>
        <w:rPr>
          <w:b/>
        </w:rPr>
        <w:t>🌐 해외 상황</w:t>
      </w:r>
    </w:p>
    <w:p>
      <w:r>
        <w:t>미-이란 교전 재개로 브렌트유가 배럴당 100달러를 돌파했으며[44][50], 유가는 미-이란 적대 행위 재개를 반영해 추가 상승했다[45][46][47][48][49]. JPMorgan은 갤런당 5달러 휘발유 위험을 더 이상 무시할 수 없다고 경고했으며[52], 에너지 시장 전반에 걸쳐 전쟁 비용이 가시화되고 있다[53]. WTI-브렌트 스프레드 확대 가능성도 제기되었다[51].</w:t>
      </w:r>
    </w:p>
    <w:p>
      <w:r>
        <w:rPr>
          <w:b/>
        </w:rPr>
        <w:t>🇰🇷 국내 영향</w:t>
      </w:r>
    </w:p>
    <w:p>
      <w:r>
        <w:t>서울 증시는 중동 긴장 재고조로 하락 출발했다[54][55]. 기름값과 해상보험료 폭등으로 해운업계에 비상등이 켜졌으며[56], 한국전력은 연료비 부담으로 목표가가 하향 조정되었다[59]. 제주항공은 유가 급등으로 비행 편수를 줄이고 승무원 무급휴직을 시행했다[62]. 반면 3월 경상수지는 반도체 호조에 힘입어 역대 최대 흑자를 기록했으며[60], 고유가 부담으로 에너지 전환 보조금이 조기 소진되고 있다[61].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동원산업은 2026년 1분기 영업이익이 1,462억 원으로 전년 동기 대비 17.1% 증가했다고 발표했으며[64][65], 포장재·물류 부문이 실적을 견인한 것으로 나타났다[67]. 동원그룹 전체로는 1분기 매출 2조 5,300억 원으로 전년 대비 9.1% 증가했다[66].</w:t>
      </w:r>
    </w:p>
    <w:p>
      <w:pPr>
        <w:pStyle w:val="Heading3"/>
      </w:pPr>
      <w:r>
        <w:t>해운  (HIGH 12 / MEDIUM 18)</w:t>
      </w:r>
    </w:p>
    <w:p>
      <w:r>
        <w:rPr>
          <w:b/>
        </w:rPr>
        <w:t>🌐 해외 상황</w:t>
      </w:r>
    </w:p>
    <w:p>
      <w:r>
        <w:t>호르무즈 봉쇄 이후 처음으로 해협을 통과한 유조선이 한국에 도착했다[68][69][71][72]. 일본 상선미쓰이(Mitsui O.S.K.)는 자사 선박 3척이 호르무즈를 통과했으나 통행료를 납부하지 않았다고 밝혔다[70]. 해상 운송 교란으로 환적 허브 항만에 혼잡이 발생하고 있으며[73], UAE 걸프 마린 서비스(Gulf Marine Services)는 걸프 전쟁으로 선박 운항이 차질을 빚어 1분기 이익이 24% 감소했다[74]. 케이프 항로 이용으로 중국 수입업자들의 PVoC 인증 준수 기간이 14주로 단축되었다[75].</w:t>
      </w:r>
    </w:p>
    <w:p>
      <w:r>
        <w:rPr>
          <w:b/>
        </w:rPr>
        <w:t>🇰🇷 국내 영향</w:t>
      </w:r>
    </w:p>
    <w:p>
      <w:r>
        <w:t>호르무즈 봉쇄 직전 탈출한 유조선 '오데사호'가 대산항에 입항했으며[78][80], 이는 3월 이후 두 번째 호르무즈 통과 유조선의 국내 도착이다[76]. 홍해를 처음 통과한 유조선도 여수에 도착했다[81]. UAE 유조선이 호르무즈를 몰래 통과해 한국 등에 수출했다는 보도도 나왔다[82]. HMM은 임시주총에서 본점 부산 이전에 합의했으며[83][84], 포항 북극항로 시대를 여는 관련 법안 3건이 국회를 통과했다[85].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경기도경제과학진흥원(경과원)과 김포시는 수출기업의 물류 부담 경감을 위한 지원에 나섰으며[86], 고환율·운임 급등에 대응한 수출물류비 지원 사업을 시행하고 있다[87].</w:t>
      </w:r>
    </w:p>
    <w:p>
      <w:pPr>
        <w:pStyle w:val="Heading3"/>
      </w:pPr>
      <w:r>
        <w:t>항만혼잡  (HIGH 1 / MEDIUM 1)</w:t>
      </w:r>
    </w:p>
    <w:p>
      <w:r>
        <w:rPr>
          <w:b/>
        </w:rPr>
        <w:t>🌐 해외 상황</w:t>
      </w:r>
    </w:p>
    <w:p>
      <w:r>
        <w:t>아라비아만에 87개국 선박 1,600척이 발이 묶여 있는 것으로 전해졌다[88]. 항만 혼잡 악화에 대한 대응 촉구도 이어지고 있다[89].</w:t>
      </w:r>
    </w:p>
    <w:p>
      <w:pPr>
        <w:pStyle w:val="Heading3"/>
      </w:pPr>
      <w:r>
        <w:t>기타 산업  (HIGH 6 / MEDIUM 28)</w:t>
      </w:r>
    </w:p>
    <w:p>
      <w:r>
        <w:rPr>
          <w:b/>
        </w:rPr>
        <w:t>🌐 해외 상황</w:t>
      </w:r>
    </w:p>
    <w:p>
      <w:r>
        <w:t>이란 전쟁으로 글로벌 비료 공급망이 교란되면서 비료 기업들이 이익 급증을 누리고 있으며[94], State Street CEO는 글로벌 비료 위기를 경고했다[91]. 방글라데시 등에서는 요소(urea) 공급 우려가 긴급 현안으로 부상했다[90]. 이란 전쟁은 데이터센터 건설 공급망도 교란하고 자재 비용을 상승시키고 있다[93]. 스위스는 이란 분쟁으로 인해 다음 겨울 천연가스·전력 부족을 예고했으며[98], 파키스탄은 카타르 공급 기대 속에 5월 LNG 현물 입찰을 거부했다[97].</w:t>
      </w:r>
    </w:p>
    <w:p>
      <w:r>
        <w:rPr>
          <w:b/>
        </w:rPr>
        <w:t>🇰🇷 국내 영향</w:t>
      </w:r>
    </w:p>
    <w:p>
      <w:r>
        <w:t>정부는 '산업의 쌀'로 불리는 나프타 안정화를 위한 총력전을 펼치고 있으며[100][101], 5월 나프타 확보 물량이 중동 전쟁 이전 대비 85~90% 수준까지 회복될 것으로 전망되었다[102]. 에쓰오일(S-Oil)은 샤힌 프로젝트 가동에 비상이 걸렸으며[105], 금호석유화학은 전쟁 변수로 1분기 수익성이 주춤했으나 전쟁 종결 시 원료 수급 개선을 기대했다[108]. DL은 1분기 영업이익 1,129억 원을 기록하며 석유화학·에너지 부문이 동반 회복세를 보였다[103][104][109]. 고유가 에너지 쇼크가 아시아의 바이오연료 전환을 가속화하고 있다는 분석도 나왔다[107].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2983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173</w:t>
            </w:r>
          </w:p>
        </w:tc>
        <w:tc>
          <w:tcPr>
            <w:tcW w:type="dxa" w:w="2946"/>
          </w:tcPr>
          <w:p>
            <w:r>
              <w:t>5.8%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322</w:t>
            </w:r>
          </w:p>
        </w:tc>
        <w:tc>
          <w:tcPr>
            <w:tcW w:type="dxa" w:w="2946"/>
          </w:tcPr>
          <w:p>
            <w:r>
              <w:t>10.8%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366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2122</w:t>
            </w:r>
          </w:p>
        </w:tc>
        <w:tc>
          <w:tcPr>
            <w:tcW w:type="dxa" w:w="2946"/>
          </w:tcPr>
          <w:p>
            <w:r>
              <w:t>71.1%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