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2026-08-12</w:t>
      </w:r>
    </w:p>
    <w:p>
      <w:pPr>
        <w:jc w:val="center"/>
      </w:pPr>
      <w:r>
        <w:rPr>
          <w:color w:val="808080"/>
          <w:sz w:val="18"/>
        </w:rPr>
        <w:t>생성 모델: claude-sonnet-4-6  |  HIGH+MEDIUM 373건 (해외 233건 / 국내 140건)</w:t>
      </w:r>
    </w:p>
    <w:p/>
    <w:p>
      <w:pPr>
        <w:pStyle w:val="Heading2"/>
      </w:pPr>
      <w:r>
        <w:t>오늘의 핵심</w:t>
      </w:r>
    </w:p>
    <w:p>
      <w:r>
        <w:t>트럼프 대통령은 미국이 호르무즈 해협을 '완전 장악'하고 있다고 거듭 주장하며 '강철의 벽'이라 표현했으나[1][5][11], 미국 헬기가 봉쇄 위반 이란행 화물선을 공격하는 등 실제 무력 충돌이 이어지고 있다[7][13]. 호르무즈 통과 선박은 8월 5일 이후 최저 수준인 하루 8척까지 감소했으며[35], 미국 정부는 이란 전쟁으로 인한 석유 공급 차질이 2027년 말까지 지속될 것으로 예상했다[6]. IEA는 2026년 글로벌 석유 공급 감소폭을 확대 전망하며 3분기 원유 부족량을 하루 180만 배럴로 제시했고[90][92], 브렌트유는 장중 90달러에 근접했다[57][59]. 파나마 운하 통항료는 1년 만에 16배 폭등해 급행 통과에 56억 원(약 400만 달러)이 지불되는 사례가 나타났으며[37][38][34], 중동 우회 화물 증가로 해상운임도 다시 상승세를 보이고 있다[36].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84 / MEDIUM 111)</w:t>
      </w:r>
    </w:p>
    <w:p>
      <w:r>
        <w:rPr>
          <w:b/>
        </w:rPr>
        <w:t>🌐 해외 상황</w:t>
      </w:r>
    </w:p>
    <w:p>
      <w:r>
        <w:t>트럼프 대통령은 미국이 호르무즈 해협에 대한 '완전한 통제권'을 보유하고 있으며 이를 계속 유지할 것이라고 반복 주장했다[1][5][8][10]. 미국 헬기가 봉쇄 위반을 시도한 이란행 선박을 공격했으며[7], 이란은 동결 자금 해제를 해협 개방 조건으로 제시했다[13]. 파키스탄이 미국과 이란을 협상 테이블로 복귀시키려 중재를 시도하고 있으나[3], 이란 혁명수비대 고문은 미국 본토에 대한 군사 작전을 준비 중이라고 경고하며 평화 협상이 결렬됐다고 밝혔다[9]. 사우디아라비아의 홍해 원유 수출이 후티 공격 위협 증가로 '암흑' 상태에 빠졌으며[4], 홍해 선박 공격으로 6명이 사망하는 첫 인명 피해가 발생했다[16][17].</w:t>
      </w:r>
    </w:p>
    <w:p>
      <w:r>
        <w:rPr>
          <w:b/>
        </w:rPr>
        <w:t>🇰🇷 국내 영향</w:t>
      </w:r>
    </w:p>
    <w:p>
      <w:r>
        <w:t>일본 다카이치 총리는 이란 대통령에게 호르무즈 통항료 부과에 반대 입장을 전달하고 후티 세력의 자제를 촉구했으며[14][18][20], 일본은 캐나다산 원유를 처음으로 수입하는 등 공급원 다변화에 나섰다[19]. 국내 언론은 미-이란 간 '모종의 합의' 가능성을 보도했으나[15], 봉쇄 위반 선박 공격과 홍해 인명 피해 발생으로 긴장이 지속되고 있다[13][17]. 미국이 2027년 말까지 석유 공급 차질이 이어질 것으로 예상한다는 보도가 국내에도 전해지며 에너지 수급 불안이 장기화될 가능성이 부각되고 있다[6].</w:t>
      </w:r>
    </w:p>
    <w:p>
      <w:pPr>
        <w:pStyle w:val="Heading3"/>
      </w:pPr>
      <w:r>
        <w:t>해양안전  (HIGH 1 / MEDIUM 3)</w:t>
      </w:r>
    </w:p>
    <w:p>
      <w:r>
        <w:rPr>
          <w:b/>
        </w:rPr>
        <w:t>🌐 해외 상황</w:t>
      </w:r>
    </w:p>
    <w:p>
      <w:r>
        <w:t>호르무즈 해협 인근에서 컨테이너선 관련 '사건'이 해양 감시 기관에 의해 보고됐다[21].</w:t>
      </w:r>
    </w:p>
    <w:p>
      <w:r>
        <w:rPr>
          <w:b/>
        </w:rPr>
        <w:t>🇰🇷 국내 영향</w:t>
      </w:r>
    </w:p>
    <w:p>
      <w:r>
        <w:t>인도네시아 발리에서 롬복으로 향하던 여객선에 화재가 발생해 생존자 구조 작업이 진행됐다[22][23][24].</w:t>
      </w:r>
    </w:p>
    <w:p>
      <w:pPr>
        <w:pStyle w:val="Heading3"/>
      </w:pPr>
      <w:r>
        <w:t>운임·물류비  (HIGH 14 / MEDIUM 5)</w:t>
      </w:r>
    </w:p>
    <w:p>
      <w:r>
        <w:rPr>
          <w:b/>
        </w:rPr>
        <w:t>🌐 해외 상황</w:t>
      </w:r>
    </w:p>
    <w:p>
      <w:r>
        <w:t>호르무즈 해협 통과 선박 수가 주간 최저치로 감소했으며[28][29], 월요일 기준 단 6척만 통과한 것으로 보고됐다[30]. 파나마 운하에서는 중동 분쟁 여파로 통과 수수료가 급등해 한 선박이 400만 달러를 지불하고 우선 통과권을 확보했다[34][27]. GEP 글로벌 공급망 변동성 지수는 7월 공급망 압력이 완화됐으나 호르무즈 교란 재개를 앞두고 부족 현상이 지속되고 있다고 경고했다[25]. 미국 에너지부 장관은 호르무즈 해협을 통해 하루 평균 900만 배럴의 원유가 통과한다고 밝혔다[26].</w:t>
      </w:r>
    </w:p>
    <w:p>
      <w:r>
        <w:rPr>
          <w:b/>
        </w:rPr>
        <w:t>🇰🇷 국내 영향</w:t>
      </w:r>
    </w:p>
    <w:p>
      <w:r>
        <w:t>호르무즈 통과 선박이 8월 5일 이후 최저 수준인 하루 8척으로 감소했다[35]. 중동 우회 화물 증가와 미주 공급 조절로 해상운임이 다시 상승세를 보이고 있다[36]. 파나마 운하 통항료는 1년 만에 16배 폭등해 급행 통과 비용이 56억 원에 달하는 사례가 나타났으며[37][38][39][40][41][42], 이는 호르무즈 봉쇄와 가뭄이 복합적으로 작용한 결과로 보도됐다[38][42].</w:t>
      </w:r>
    </w:p>
    <w:p>
      <w:pPr>
        <w:pStyle w:val="Heading3"/>
      </w:pPr>
      <w:r>
        <w:t>항만·화물  (HIGH 1 / MEDIUM 4)</w:t>
      </w:r>
    </w:p>
    <w:p>
      <w:r>
        <w:rPr>
          <w:b/>
        </w:rPr>
        <w:t>🌐 해외 상황</w:t>
      </w:r>
    </w:p>
    <w:p>
      <w:r>
        <w:t>우크라이나의 드론 공격으로 러시아 흑해 항구 노보로시스크의 주요 곡물 수출 터미널이 타격을 받았으며[43][44], 우크라이나는 항구 공격으로 올해 곡물 수출 전망을 12% 하향 조정했다[45]. 미국 에너지부 장관은 페르시아만 원유 수출이 전쟁 이전 수준에 근접했다고 주장했으나[46], 유조선 데이터는 이 주장과 배치되는 것으로 나타났다[47].</w:t>
      </w:r>
    </w:p>
    <w:p>
      <w:r>
        <w:rPr>
          <w:b/>
        </w:rPr>
        <w:t>🇰🇷 국내 영향</w:t>
      </w:r>
    </w:p>
    <w:p>
      <w:r>
        <w:t>유조선 데이터가 중동 원유 수출 정상화 주장과 배치된다는 보도가 나왔다[47].</w:t>
      </w:r>
    </w:p>
    <w:p>
      <w:pPr>
        <w:pStyle w:val="Heading3"/>
      </w:pPr>
      <w:r>
        <w:t>경제·금융  (HIGH 12 / MEDIUM 75)</w:t>
      </w:r>
    </w:p>
    <w:p>
      <w:r>
        <w:rPr>
          <w:b/>
        </w:rPr>
        <w:t>🌐 해외 상황</w:t>
      </w:r>
    </w:p>
    <w:p>
      <w:r>
        <w:t>IEA는 호르무즈 재개통 전망이 불투명한 가운데 2026년 글로벌 석유 공급 부족이 심화될 것으로 전망했으며[48][49], 석유 수요 전망도 재차 하향 조정했다[51]. 브렌트유는 미-이란 협상 불확실성 속에 87달러를 돌파했으며[52][53], 90달러에 근접하는 흐름을 보였다[57]. 별도의 선박 공격 보고 이후 원유 선물 가격이 추가 상승했다[55][56]. 인도 루피화는 유가 상승과 호르무즈 긴장으로 추가 약세를 보였다[50][54].</w:t>
      </w:r>
    </w:p>
    <w:p>
      <w:r>
        <w:rPr>
          <w:b/>
        </w:rPr>
        <w:t>🇰🇷 국내 영향</w:t>
      </w:r>
    </w:p>
    <w:p>
      <w:r>
        <w:t>브렌트유가 장중 90달러를 재차 터치하면서 한국은행의 8월 연속 금리 인상 가능성이 거론됐다[59]. 서울 증시는 미국 증시 하락과 중동 비관론에도 불구하고 소폭 상승 출발했으며[58], 뉴욕 증시는 미국 7월 CPI가 전년 동기 대비 3.4% 상승으로 예상치에 부합하자 동반 상승 출발했다[63][67]. 한국전력은 2분기 영업이익이 47% 감소하며 수익성 악화가 지속됐다[65]. IEA는 올해 세계 석유 수요 전망을 하루 160만 배럴 감소로 재차 하향 조정했다[62].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동원산업은 2분기 영업이익이 1,515억 원으로 전년 대비 13.3% 증가했다[68].</w:t>
      </w:r>
    </w:p>
    <w:p>
      <w:pPr>
        <w:pStyle w:val="Heading3"/>
      </w:pPr>
      <w:r>
        <w:t>해운  (HIGH 1 / MEDIUM 8)</w:t>
      </w:r>
    </w:p>
    <w:p>
      <w:r>
        <w:rPr>
          <w:b/>
        </w:rPr>
        <w:t>🌐 해외 상황</w:t>
      </w:r>
    </w:p>
    <w:p>
      <w:r>
        <w:t>중국이 아덴만과 소말리아 해역에 새로운 해군 호위 함대를 파견했다[69][70]. 중동 전쟁으로 인해 중국이 북극 항로로 눈을 돌리고 있다는 분석이 나왔다[71].</w:t>
      </w:r>
    </w:p>
    <w:p>
      <w:r>
        <w:rPr>
          <w:b/>
        </w:rPr>
        <w:t>🇰🇷 국내 영향</w:t>
      </w:r>
    </w:p>
    <w:p>
      <w:r>
        <w:t>트럼프 대통령이 호르무즈가 열렸다고 주장했으나 실제 통과 선박은 하루 14척에 그쳤다[72]. UAE가 OPEC을 탈퇴한 이후 이라크 원유까지 수송하며 걸프 물류의 새로운 축으로 부상하고 있다[73]. 7월 울산항 벙커링이 전월 대비 23% 증가하며 뚜렷한 회복세를 보였다[74]. 북극항로 시범운항의 첫 기항지가 영국 펠릭스토우로 확정됐으며[75], HMM 소속 프리미어는 부산-미국 동안 노선을 개편하고 중국 닝보에 신규 취항했다[77]. LNG 연료선 수주잔량에서 중국 조선업계가 한국을 압도하며 기술 격차를 축소하고 있다는 분석이 나왔다[76].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라인강 수위가 10cm 아래로 떨어질 가능성이 제기되며 물류 운송에 비상이 걸렸다[78].</w:t>
      </w:r>
    </w:p>
    <w:p>
      <w:pPr>
        <w:pStyle w:val="Heading3"/>
      </w:pPr>
      <w:r>
        <w:t>기타 산업  (HIGH 18 / MEDIUM 34)</w:t>
      </w:r>
    </w:p>
    <w:p>
      <w:r>
        <w:rPr>
          <w:b/>
        </w:rPr>
        <w:t>🌐 해외 상황</w:t>
      </w:r>
    </w:p>
    <w:p>
      <w:r>
        <w:t>IEA는 호르무즈 재개통이 불투명한 가운데 2026년 석유 공급 부족이 심화되고 수요 침체도 깊어질 것이라고 밝혔다[79][80]. 미국 정부는 이란 전쟁으로 인한 석유 공급 차질이 내년까지 지속될 것으로 예상했다[81]. 오만 해안에서 발생한 유조선 기름 유출이 본토에 도달했으며[82][83][84], 관련 기관들은 이를 최근 수년간 최악의 걸프 기름 유출 사고 중 하나로 경고했다[87]. 러시아는 우크라이나의 드론 공격이 글로벌 식량 안보를 위협하고 있다고 주장했으며[85][88], 이라크는 이란 전쟁 여파로 재정 위기에 처한 것으로 보도됐다[86].</w:t>
      </w:r>
    </w:p>
    <w:p>
      <w:r>
        <w:rPr>
          <w:b/>
        </w:rPr>
        <w:t>🇰🇷 국내 영향</w:t>
      </w:r>
    </w:p>
    <w:p>
      <w:r>
        <w:t>IEA는 호르무즈 봉쇄 여파로 올해 석유 공급 감소폭이 확대될 것으로 전망하며 3분기 원유 부족량을 하루 180만 배럴로 제시했고[90][92][94], 이는 한 달 새 100만 배럴 확대된 수치다[98]. 미-이란 충돌 여파로 IEA는 올해 석유 공급이 하루 430만 배럴 감소할 것으로 전망했다[93]. 호르무즈 봉쇄 위기가 지속되면서 글로벌 원유 공급 차질이 확대되고 있다는 보도가 국내에서 집중적으로 이어졌다[89][91][95][96][97].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2703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131</w:t>
            </w:r>
          </w:p>
        </w:tc>
        <w:tc>
          <w:tcPr>
            <w:tcW w:type="dxa" w:w="2946"/>
          </w:tcPr>
          <w:p>
            <w:r>
              <w:t>4.8%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242</w:t>
            </w:r>
          </w:p>
        </w:tc>
        <w:tc>
          <w:tcPr>
            <w:tcW w:type="dxa" w:w="2946"/>
          </w:tcPr>
          <w:p>
            <w:r>
              <w:t>9.0%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340</w:t>
            </w:r>
          </w:p>
        </w:tc>
        <w:tc>
          <w:tcPr>
            <w:tcW w:type="dxa" w:w="2946"/>
          </w:tcPr>
          <w:p>
            <w:r>
              <w:t>12.6%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1990</w:t>
            </w:r>
          </w:p>
        </w:tc>
        <w:tc>
          <w:tcPr>
            <w:tcW w:type="dxa" w:w="2946"/>
          </w:tcPr>
          <w:p>
            <w:r>
              <w:t>73.6%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