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2026-07-22</w:t>
      </w:r>
    </w:p>
    <w:p>
      <w:pPr>
        <w:jc w:val="center"/>
      </w:pPr>
      <w:r>
        <w:rPr>
          <w:color w:val="808080"/>
          <w:sz w:val="18"/>
        </w:rPr>
        <w:t>생성 모델: claude-sonnet-4-6  |  HIGH+MEDIUM 447건 (해외 296건 / 국내 151건)</w:t>
      </w:r>
    </w:p>
    <w:p/>
    <w:p>
      <w:pPr>
        <w:pStyle w:val="Heading2"/>
      </w:pPr>
      <w:r>
        <w:t>오늘의 핵심</w:t>
      </w:r>
    </w:p>
    <w:p>
      <w:r>
        <w:t>트럼프 대통령이 이란에 대해 호르무즈 해협에서 선박 공격 시 테헤란 교량·발전소를 폭격하겠다고 최후통첩을 발령했으며[12][13][14], 후티 반군은 홍해에서 사우디 유조선 2척을 미사일로 공격하며 새로운 봉쇄 전선을 열었다[3][5][6]. 이에 따라 유가는 배럴당 92달러를 돌파하며 5~6주 최고치를 기록했고[58][59], 골드만삭스는 호르무즈 교란이 지속될 경우 유가가 120달러를 넘을 수 있다고 경고했다[57]. CMA CGM은 호르무즈 긴장 재고조를 이유로 긴급 할증료 부과를 발표했으며[30][31], 인도 정유사들은 호르무즈 리스크 상승으로 이라크산 원유 선적을 중단했다[32][40]. 한국에서는 울산세관이 캐나다산 원유 수입 확대를 지원하며 중동 리스크에 대응하고 있고[47], 아시아 정유업체들은 사우디 원유를 수에즈 운하 경유로 우회 수송하는 방안을 모색 중이다[35][83].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107 / MEDIUM 152)</w:t>
      </w:r>
    </w:p>
    <w:p>
      <w:r>
        <w:rPr>
          <w:b/>
        </w:rPr>
        <w:t>🌐 해외 상황</w:t>
      </w:r>
    </w:p>
    <w:p>
      <w:r>
        <w:t>트럼프 대통령은 이란이 호르무즈 해협에서 선박을 공격할 때마다 테헤란 교량과 발전소를 하나씩 파괴하겠다고 위협했다[2][9]. 후티 반군은 홍해에서 사우디 국적 유조선 2척을 미사일로 공격하며 새로운 해상 봉쇄 전선을 개설했다[5][6][10]. 미국이 이란을 재차 타격한 가운데 후티 반군은 홍해 유조선 공격을 자신들의 소행으로 주장했다[4]. 트럼프는 미국과 베네수엘라가 세계 석유 시장의 62%를 통제하고 있어 호르무즈 해협이 필요 없다고 주장했으나[7], 한 분석 논평은 두 번째 해협 통제권 상실을 경고했다[8].</w:t>
      </w:r>
    </w:p>
    <w:p>
      <w:r>
        <w:rPr>
          <w:b/>
        </w:rPr>
        <w:t>🇰🇷 국내 영향</w:t>
      </w:r>
    </w:p>
    <w:p>
      <w:r>
        <w:t>국내 주요 언론은 트럼프의 이란 최후통첩을 일제히 보도하며 호르무즈 해협 선박 공격 시 교량·발전소 폭격 위협을 상세히 전달했다[12][13][14][15][16][17][18][19][20]. 미국의 후티 억지 의지도 국내에 보도되었다[11].</w:t>
      </w:r>
    </w:p>
    <w:p>
      <w:pPr>
        <w:pStyle w:val="Heading3"/>
      </w:pPr>
      <w:r>
        <w:t>해양안전  (HIGH 2 / MEDIUM 2)</w:t>
      </w:r>
    </w:p>
    <w:p>
      <w:r>
        <w:rPr>
          <w:b/>
        </w:rPr>
        <w:t>🌐 해외 상황</w:t>
      </w:r>
    </w:p>
    <w:p>
      <w:r>
        <w:t>영국 해양기관은 홍해에서 유조선이 피격되었다고 발표했다[21]. 인도는 선박 공격으로 인도인 4명이 사망한 사건과 관련해 러시아 대사를 초치하고 항의했다[22]. 가스 리스본 유조선에서 발생한 화재는 진화되었으나 고온 상태가 지속되고 있다[23]. MOL 그룹이 관리하는 LNG 선박 승무원들이 2025년 구조 작전으로 IMO 표창을 받았으며, 일본 해운사 최초 사례로 기록되었다[24].</w:t>
      </w:r>
    </w:p>
    <w:p>
      <w:pPr>
        <w:pStyle w:val="Heading3"/>
      </w:pPr>
      <w:r>
        <w:t>운임·물류비  (HIGH 12 / MEDIUM 7)</w:t>
      </w:r>
    </w:p>
    <w:p>
      <w:r>
        <w:rPr>
          <w:b/>
        </w:rPr>
        <w:t>🌐 해외 상황</w:t>
      </w:r>
    </w:p>
    <w:p>
      <w:r>
        <w:t>CMA CGM은 호르무즈 긴장 재고조를 이유로 긴급 할증료 부과를 발표했다[30][31]. 바브엘만데브 봉쇄는 원유 가격 상승, 제품 공급 위협, 운임 상승을 초래할 것으로 분석되었다[27]. 후티 위협으로 더 많은 유조선이 홍해에서 회항하고 있으며[26], 홍해 선적 차질이 현실화되고 있다[28]. 호르무즈 해협 통과 선박 수는 안보 우려로 인해 추가 감소했고[29], 파나마 운하 당국은 엘니뇨 우려로 통항 제한을 재강화하며 선사들이 할증료를 부과하고 있다[25][34].</w:t>
      </w:r>
    </w:p>
    <w:p>
      <w:r>
        <w:rPr>
          <w:b/>
        </w:rPr>
        <w:t>🇰🇷 국내 영향</w:t>
      </w:r>
    </w:p>
    <w:p>
      <w:r>
        <w:t>아시아 정유업체들은 사우디 원유를 수에즈 운하 경유로 수송하는 방안을 모색 중이다[35]. 이란 전쟁 격화로 호르무즈 유조선 운항에 차질이 발생하고 있으며[36], 홍해 물류 차질이 현실화되어 유조선 4척이 항로를 변경했다[37]. 유류할증료 반등 조짐과 함께 항공료 인상 가능성도 제기되고 있다[39]. 벌크선 시장은 전 선형에서 숨고르기 양상을 보이며 선복 증가 추세가 이어지고 있다[38].</w:t>
      </w:r>
    </w:p>
    <w:p>
      <w:pPr>
        <w:pStyle w:val="Heading3"/>
      </w:pPr>
      <w:r>
        <w:t>항만·화물  (HIGH 1 / MEDIUM 11)</w:t>
      </w:r>
    </w:p>
    <w:p>
      <w:r>
        <w:rPr>
          <w:b/>
        </w:rPr>
        <w:t>🌐 해외 상황</w:t>
      </w:r>
    </w:p>
    <w:p>
      <w:r>
        <w:t>인도 IOC와 MRPL은 호르무즈 리스크 상승으로 이라크산 원유 선적을 중단했다[40]. DP World는 호르무즈 해협 외부에 UAE 컨테이너 터미널 2개를 건설하는 계약을 체결했다[42]. 방글라데시는 LNG 터미널 부분 가동 중단으로 가스 공급에 차질이 발생했다[43]. 인도에서는 카리프 파종 성수기에 비료 선박 여러 척이 항구에 발이 묶여 있다[44].</w:t>
      </w:r>
    </w:p>
    <w:p>
      <w:r>
        <w:rPr>
          <w:b/>
        </w:rPr>
        <w:t>🇰🇷 국내 영향</w:t>
      </w:r>
    </w:p>
    <w:p>
      <w:r>
        <w:t>울산세관은 중동 리스크 대응 차원에서 캐나다산 원유 수입 확대를 지원하고 있다[47]. 부산신항 동원터미널은 셧다운 여파로 정상화 작업에 난항을 겪고 있다[50]. 동해·묵호항의 상반기 물동량은 1,313만 톤으로 전년 대비 3.6% 증가했다[49]. 북극항로 시대를 맞아 울산항의 에너지 허브 역할 강화 필요성이 제기되었다[51].</w:t>
      </w:r>
    </w:p>
    <w:p>
      <w:pPr>
        <w:pStyle w:val="Heading3"/>
      </w:pPr>
      <w:r>
        <w:t>경제·금융  (HIGH 15 / MEDIUM 80)</w:t>
      </w:r>
    </w:p>
    <w:p>
      <w:r>
        <w:rPr>
          <w:b/>
        </w:rPr>
        <w:t>🌐 해외 상황</w:t>
      </w:r>
    </w:p>
    <w:p>
      <w:r>
        <w:t>유가는 미국-이란 갈등 격화로 배럴당 92달러를 돌파하며 5~6주 최고치를 기록했다[58][59][60]. 골드만삭스는 호르무즈 교란이 지속될 경우 유가가 120달러를 넘을 수 있다고 경고했다[57]. 후티 반군의 홍해 봉쇄 위협으로 유가가 4% 급등했으며[55], 글로벌 주식시장은 혼조세를 보였다[53]. 후티의 홍해 봉쇄는 저유가 기대를 무너뜨리고 글로벌 오일 쇼크를 유발할 수 있다는 분석이 나왔다[52][54].</w:t>
      </w:r>
    </w:p>
    <w:p>
      <w:r>
        <w:rPr>
          <w:b/>
        </w:rPr>
        <w:t>🇰🇷 국내 영향</w:t>
      </w:r>
    </w:p>
    <w:p>
      <w:r>
        <w:t>국내 생산자물가는 6월 중동 긴장 완화 영향으로 전월 대비 변동이 없었다[62]. 후티 반군의 홍해 봉쇄 위협으로 유가가 4% 급등했다는 소식이 국내에도 전해졌다[63]. 뉴욕 증시는 중동 갈등 격화와 빅테크 실적 발표 경계감 속에 혼조 출발했으며 나스닥은 0.39% 하락했다[64][65][66]. 달러-원 환율은 뉴욕 장에서 1,480원 초반대에서 거래되었고[69], 엔화 가치는 40년 만에 최저 수준인 달러당 163엔대로 급락했다[70][71].</w:t>
      </w:r>
    </w:p>
    <w:p>
      <w:pPr>
        <w:pStyle w:val="Heading3"/>
      </w:pPr>
      <w:r>
        <w:t>해운  (HIGH 13 / MEDIUM 6)</w:t>
      </w:r>
    </w:p>
    <w:p>
      <w:r>
        <w:rPr>
          <w:b/>
        </w:rPr>
        <w:t>🌐 해외 상황</w:t>
      </w:r>
    </w:p>
    <w:p>
      <w:r>
        <w:t>호르무즈 해협에서 미국 지원 통항 건수가 제로로 떨어졌으며[73], 전반적인 호르무즈 통항 선박도 급감했다[72]. 후티 위협으로 유조선들이 급격한 U턴을 감행하고 있으며[74][75], 사우디 원유를 실은 유조선들이 홍해에서 회항하며 후티가 미국-이란 전쟁에서 새로운 전선을 열었다[77][78][79][80][81]. 인도행 유조선들도 후티 봉쇄 위협 이후 홍해에서 U턴했다[76].</w:t>
      </w:r>
    </w:p>
    <w:p>
      <w:r>
        <w:rPr>
          <w:b/>
        </w:rPr>
        <w:t>🇰🇷 국내 영향</w:t>
      </w:r>
    </w:p>
    <w:p>
      <w:r>
        <w:t>호르무즈에 이어 홍해까지 후티 위협으로 홍해 선박들도 항로를 변경하고 있다[82]. 아시아 정유업체들은 후티 반군의 홍해 봉쇄 위협으로 수에즈 운하 경유 우회를 추진 중이다[83]. HMM은 창립 50주년 기념 사사가 레드닷 디자인 어워드 본상을 수상했으며[85], 증권가에서는 HMM의 하반기 실적에 대한 기대감이 높아지고 있다[86]. 제주~칭다오 노선은 적자 운항 상태로 중국 측과 재협상이 추진될 예정이다[84].</w:t>
      </w:r>
    </w:p>
    <w:p>
      <w:pPr>
        <w:pStyle w:val="Heading3"/>
      </w:pPr>
      <w:r>
        <w:t>물류  (HIGH 0 / MEDIUM 4)</w:t>
      </w:r>
    </w:p>
    <w:p>
      <w:r>
        <w:rPr>
          <w:b/>
        </w:rPr>
        <w:t>🇰🇷 국내 영향</w:t>
      </w:r>
    </w:p>
    <w:p>
      <w:r>
        <w:t>부산국제금융진흥원은 중소조선소 금융보증 지원에 나섰으며[87], 중소조선소의 RG 발급난 해소를 위해 조선공제조합이 대안을 제시했다[88]. 한-아세안 외교장관회의에서 AI·공급망 협력 확대가 논의되었다[89][90].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파키스탄 세관은 카라치 터미널 혼잡 완화를 위한 역사적 조치를 시행했다[91].</w:t>
      </w:r>
    </w:p>
    <w:p>
      <w:pPr>
        <w:pStyle w:val="Heading3"/>
      </w:pPr>
      <w:r>
        <w:t>기타 산업  (HIGH 1 / MEDIUM 33)</w:t>
      </w:r>
    </w:p>
    <w:p>
      <w:r>
        <w:rPr>
          <w:b/>
        </w:rPr>
        <w:t>🌐 해외 상황</w:t>
      </w:r>
    </w:p>
    <w:p>
      <w:r>
        <w:t>카타르에너지는 LNG 공급 중단을 연장할 예정이며[95], 이는 방글라데시 등 수입국에 영향을 미칠 가능성이 있다. 이라크는 터키 파이프라인 재가동에서 진전을 이루고 있다고 밝혔다[93]. UN 기관장은 분쟁과 에너지 충격이 글로벌 기아 퇴치 진전을 위협하고 있다고 경고했다[92][96]. EU는 러시아산 LNG 수입이 급증하고 있으나 그리스가 새로운 제재에 저항하는 등 에너지 딜레마에 직면해 있다[99].</w:t>
      </w:r>
    </w:p>
    <w:p>
      <w:r>
        <w:rPr>
          <w:b/>
        </w:rPr>
        <w:t>🇰🇷 국내 영향</w:t>
      </w:r>
    </w:p>
    <w:p>
      <w:r>
        <w:t>정부는 여수산단 석유화학 사업재편 2호 프로젝트인 '여수 1호'를 승인하고 7,000억 원 이상의 금융·세제 지원 패키지를 투입하기로 했다[102][103][104][105][106][107]. 한국은 국내 최대 석화단지인 여수산단의 에틸렌 생산 축소를 포함한 구조조정을 추진 중이다[97]. S-OIL은 울산에서 바이오선박유 공급을 개시하며 해운 저탄소 연료 시장에 진출했다[108][109][110]. 철강 빅2는 2분기 반등을 시작하며 하반기 도약 발판을 마련했다[101].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151</w:t>
            </w:r>
          </w:p>
        </w:tc>
        <w:tc>
          <w:tcPr>
            <w:tcW w:type="dxa" w:w="2946"/>
          </w:tcPr>
          <w:p>
            <w:r>
              <w:t>5.1%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296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370</w:t>
            </w:r>
          </w:p>
        </w:tc>
        <w:tc>
          <w:tcPr>
            <w:tcW w:type="dxa" w:w="2946"/>
          </w:tcPr>
          <w:p>
            <w:r>
              <w:t>12.5%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2149</w:t>
            </w:r>
          </w:p>
        </w:tc>
        <w:tc>
          <w:tcPr>
            <w:tcW w:type="dxa" w:w="2946"/>
          </w:tcPr>
          <w:p>
            <w:r>
              <w:t>72.5%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