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2026-09-13</w:t>
      </w:r>
    </w:p>
    <w:p>
      <w:pPr>
        <w:jc w:val="center"/>
      </w:pPr>
      <w:r>
        <w:rPr>
          <w:color w:val="808080"/>
          <w:sz w:val="18"/>
        </w:rPr>
        <w:t>생성 모델: claude-sonnet-4-6  |  HIGH+MEDIUM 265건 (해외 102건 / 국내 163건)</w:t>
      </w:r>
    </w:p>
    <w:p/>
    <w:p>
      <w:pPr>
        <w:pStyle w:val="Heading2"/>
      </w:pPr>
      <w:r>
        <w:t>오늘의 핵심</w:t>
      </w:r>
    </w:p>
    <w:p>
      <w:r>
        <w:t>호르무즈 해협에서 이란 상선이 피격되어 1명 사망·3명 부상이 발생하였으며[1][4][14], 미·이란 긴장 속에 국제유가는 배럴당 100달러를 돌파하였다[34][45]. 사우디아라비아 송유관이 후티 위협으로 피격·일시 폐쇄되면서 세계 원유 공급의 최대 4% 차질 가능성이 제기되었고[11][78][82], 후티 세력이 홍해 요충지 모카항을 장악하며 바브엘만데브 해협까지 위협받는 '이중 병목' 상황이 현실화되고 있다[13][18]. 국내에서는 SCFI 5000 돌파 가능성이 거론되며 코로나 물류대란 재현 우려가 확산되고 있고[26], 한국 금융권의 중동 위험노출액이 1조 원 이상 증가한 것으로 보도되었다[45]. 한편 국내 첫 북극항로 시범운항 선박 팬스타 아크로호가 로테르담에 입항하며 대체 항로 가능성을 확인하였다[62][64][66].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46건</w:t>
            </w:r>
          </w:p>
        </w:tc>
        <w:tc>
          <w:tcPr>
            <w:tcW w:type="dxa" w:w="2209"/>
          </w:tcPr>
          <w:p>
            <w:r>
              <w:t>▼56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31건</w:t>
            </w:r>
          </w:p>
        </w:tc>
        <w:tc>
          <w:tcPr>
            <w:tcW w:type="dxa" w:w="2209"/>
          </w:tcPr>
          <w:p>
            <w:r>
              <w:t>▲19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▼38</w:t>
            </w:r>
          </w:p>
        </w:tc>
      </w:tr>
      <w:tr>
        <w:tc>
          <w:tcPr>
            <w:tcW w:type="dxa" w:w="2209"/>
          </w:tcPr>
          <w:p>
            <w:r>
              <w:t>해외 항만</w:t>
            </w:r>
          </w:p>
        </w:tc>
        <w:tc>
          <w:tcPr>
            <w:tcW w:type="dxa" w:w="2209"/>
          </w:tcPr>
          <w:p>
            <w:r>
              <w:t>로테르담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오만 살랄라 육상 환적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▼6</w:t>
            </w:r>
          </w:p>
        </w:tc>
      </w:tr>
      <w:tr>
        <w:tc>
          <w:tcPr>
            <w:tcW w:type="dxa" w:w="2209"/>
          </w:tcPr>
          <w:p>
            <w:r>
              <w:t>한국 항만</w:t>
            </w:r>
          </w:p>
        </w:tc>
        <w:tc>
          <w:tcPr>
            <w:tcW w:type="dxa" w:w="2209"/>
          </w:tcPr>
          <w:p>
            <w:r>
              <w:t>울산항</w:t>
            </w:r>
          </w:p>
        </w:tc>
        <w:tc>
          <w:tcPr>
            <w:tcW w:type="dxa" w:w="2209"/>
          </w:tcPr>
          <w:p>
            <w:r>
              <w:t>2건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78 / MEDIUM 64)</w:t>
      </w:r>
    </w:p>
    <w:p>
      <w:r>
        <w:rPr>
          <w:b/>
        </w:rPr>
        <w:t>🌐 해외 상황</w:t>
      </w:r>
    </w:p>
    <w:p>
      <w:r>
        <w:t>호르무즈 해협 인근 게슘섬 부근에서 이란 상선이 피격되어 1명이 사망하고 3명이 부상하였다[1][7][8]. 미·이란 긴장이 지속되는 가운데 발생한 이번 사건은 복수의 해외 매체가 동시 보도하였다[2][4][10]. 이란과 오만은 호르무즈 해협의 새로운 진입·출항 항로에 합의하였다[6]. 후티 세력은 홍해 요충지 모카항을 장악하여 글로벌 해운에 위협을 가하고 있으며[3][5], 사우디아라비아 송유관도 후티 위협으로 피격되어 육상·해상 원유 수송로가 동시에 위태로워졌다[11].</w:t>
      </w:r>
    </w:p>
    <w:p>
      <w:r>
        <w:rPr>
          <w:b/>
        </w:rPr>
        <w:t>🇰🇷 국내 영향</w:t>
      </w:r>
    </w:p>
    <w:p>
      <w:r>
        <w:t>호르무즈 해협에서 이란 상선 피격 사건이 발생한 가운데 운송 협의를 앞두고 긴장이 고조되고 있다[12][17]. 사우디 송유관 피격으로 육지와 해상 원유 수송로가 동시에 위협받으면서 유가 추가 상승 우려가 제기되었다[11][15]. 후티의 홍해 요충지 장악으로 사우디 원유 수출길에 비상이 걸렸고[13], 호르무즈에 이어 홍해까지 막히는 '이중 병목' 상황이 현실화되고 있다[18]. 이란·오만 간 호르무즈 새 항로 합의 소식도 전해졌다[61].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호르무즈 해협 인근에서 이란 상선이 피격되어 인명 피해가 발생하였다[21]. 인도네시아에서는 240명을 태운 선박이 실종되어 수색 작업이 진행 중이다[22].</w:t>
      </w:r>
    </w:p>
    <w:p>
      <w:pPr>
        <w:pStyle w:val="Heading3"/>
      </w:pPr>
      <w:r>
        <w:t>운임·물류비  (HIGH 3 / MEDIUM 1)</w:t>
      </w:r>
    </w:p>
    <w:p>
      <w:r>
        <w:rPr>
          <w:b/>
        </w:rPr>
        <w:t>🌐 해외 상황</w:t>
      </w:r>
    </w:p>
    <w:p>
      <w:r>
        <w:t>걸프 지역 긴장으로 유조선 수요가 급증하며 전 세계적인 유조선 확보 경쟁이 벌어지고 있다[23]. 바브엘만데브 해협은 세계 무역에 미치는 영향이 큰 요충지로 주목받고 있다[24].</w:t>
      </w:r>
    </w:p>
    <w:p>
      <w:r>
        <w:rPr>
          <w:b/>
        </w:rPr>
        <w:t>🇰🇷 국내 영향</w:t>
      </w:r>
    </w:p>
    <w:p>
      <w:r>
        <w:t>수에즈 운하 차단과 고유가가 겹치면서 운임의 심리적 저항선이 붕괴된 것으로 보도되었다[25]. SCFI 5000 돌파 가능성이 거론되며 코로나 물류대란 재현 가능성에 기업들의 우려가 커지고 있다[26].</w:t>
      </w:r>
    </w:p>
    <w:p>
      <w:pPr>
        <w:pStyle w:val="Heading3"/>
      </w:pPr>
      <w:r>
        <w:t>항만·화물  (HIGH 1 / MEDIUM 5)</w:t>
      </w:r>
    </w:p>
    <w:p>
      <w:r>
        <w:rPr>
          <w:b/>
        </w:rPr>
        <w:t>🇰🇷 국내 영향</w:t>
      </w:r>
    </w:p>
    <w:p>
      <w:r>
        <w:t>울산항 반입화물이 5,239만 톤으로 7.4% 감소하였다[27]. 부산 북항 해역에서 암갈색 기름띠가 발견되어 해경이 긴급 방제 조치를 시행하였다[28][29]. 울산항 컨테이너 물동량 감소에 따라 글로벌 선사 유치 방안이 모색되고 있다[30]. 팬스타 아크로호가 로테르담에 도착하며 유류 1,500톤을 수급하였다[32].</w:t>
      </w:r>
    </w:p>
    <w:p>
      <w:pPr>
        <w:pStyle w:val="Heading3"/>
      </w:pPr>
      <w:r>
        <w:t>경제·금융  (HIGH 6 / MEDIUM 47)</w:t>
      </w:r>
    </w:p>
    <w:p>
      <w:r>
        <w:rPr>
          <w:b/>
        </w:rPr>
        <w:t>🌐 해외 상황</w:t>
      </w:r>
    </w:p>
    <w:p>
      <w:r>
        <w:t>국제유가가 배럴당 100달러를 돌파하였으며[34][36], 사우디 송유관 폐쇄로 추가 유가 급등 위험이 제기되고 있다[33][68]. 이란과의 전쟁 충격으로 물가 상승·긴축 재정 딜레마가 심화될 것이라는 분석이 나왔다[35]. 인도에서는 글로벌 불확실성 속에 외국인 포트폴리오 투자자(FPI)가 9월 들어 1만 3,138크로루피 규모의 주식을 순매도하였다[38][39]. 유가 급등이 글로벌 인플레이션을 부채질하고 있다는 분석도 제기되었다[42].</w:t>
      </w:r>
    </w:p>
    <w:p>
      <w:r>
        <w:rPr>
          <w:b/>
        </w:rPr>
        <w:t>🇰🇷 국내 영향</w:t>
      </w:r>
    </w:p>
    <w:p>
      <w:r>
        <w:t>미·이란 충돌로 유가가 100달러를 돌파하면서 한국 금융권의 중동 위험노출액이 1조 원 이상 증가한 것으로 보도되었다[45]. 유가·물가·금리의 '3고 충격'으로 글로벌 긴축이 본격화되며 한국 경제 전망이 어두워지고 있다[48]. 삼성전자·SK하이닉스는 환율 급락으로 영업이익 전망이 21조 원 하락한 것으로 보도되었다[49]. 미 국채금리가 5% 턱밑에 달한 상황에서도 유가·물가 불안으로 연준의 금리인상 가능성이 거론되고 있다[50]. 국제유가는 연말에 더 오를 것이라는 전망이 나오며 사우디 공급 불안과 중국 수요가 변수로 지목되었다[43][46].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경남 남해안에서 고수온 피해가 252억 원에 달해 역대 두 번째 규모를 기록하였다[53][54]. 강원한우는 중동 정세로 중단되었던 두바이 수출을 재개하였다[55].</w:t>
      </w:r>
    </w:p>
    <w:p>
      <w:pPr>
        <w:pStyle w:val="Heading3"/>
      </w:pPr>
      <w:r>
        <w:t>해운  (HIGH 2 / MEDIUM 20)</w:t>
      </w:r>
    </w:p>
    <w:p>
      <w:r>
        <w:rPr>
          <w:b/>
        </w:rPr>
        <w:t>🌐 해외 상황</w:t>
      </w:r>
    </w:p>
    <w:p>
      <w:r>
        <w:t>중국 상선이 북극 항로를 이용한 것이 전문가들의 주목을 받고 있다[56]. 2026년 엘니뇨가 역대 최악 수준이 될 것으로 예측되며 글로벌 해운과 어류 행동에 영향을 미칠 것으로 보인다[57].</w:t>
      </w:r>
    </w:p>
    <w:p>
      <w:r>
        <w:rPr>
          <w:b/>
        </w:rPr>
        <w:t>🇰🇷 국내 영향</w:t>
      </w:r>
    </w:p>
    <w:p>
      <w:r>
        <w:t>중동 해상 수송로 불안으로 하루 1,300대의 유조차 행렬이 이어지며 육상 수송로가 재부상하고 있다[58]. 정부는 중동발 불안에 대응해 국가 필수선박을 확대하는 방향으로 비상 수송선대를 키우기로 하였다[59]. 국내 첫 북극항로 시범운항 선박 팬스타 아크로호가 최종 목적지인 네덜란드 로테르담항에 입항하며 북극항로 상업운항 가능성을 확인하였다[62][64][65][66][67]. HD현대는 친환경 차세대 선박기술 및 차세대 LNG운반선 기술을 공개하였다[60][63].</w:t>
      </w:r>
    </w:p>
    <w:p>
      <w:pPr>
        <w:pStyle w:val="Heading3"/>
      </w:pPr>
      <w:r>
        <w:t>기타 산업  (HIGH 9 / MEDIUM 24)</w:t>
      </w:r>
    </w:p>
    <w:p>
      <w:r>
        <w:rPr>
          <w:b/>
        </w:rPr>
        <w:t>🌐 해외 상황</w:t>
      </w:r>
    </w:p>
    <w:p>
      <w:r>
        <w:t>사우디아라비아 송유관 폐쇄로 세계 원유 공급에 새로운 위협이 제기되었으며[68][69], 사우디 원유 생산량이 1990년 이후 최저 수준으로 떨어진 것으로 보도되었다[70]. 사우디 핵심 송유관 폐쇄로 원유 흐름이 제한되고 있다[71]. 우크라이나의 러시아 정유시설 타격으로 러시아가 인도로부터 기록적인 연료를 수입하고 있다[74][76]. 에너지·식품 가격 급등이 소비자에게 악영향을 미치고 있다는 분석이 나왔다[77].</w:t>
      </w:r>
    </w:p>
    <w:p>
      <w:r>
        <w:rPr>
          <w:b/>
        </w:rPr>
        <w:t>🇰🇷 국내 영향</w:t>
      </w:r>
    </w:p>
    <w:p>
      <w:r>
        <w:t>사우디 송유관 중단으로 세계 원유 공급의 최대 4% 차질 가능성이 제기되었다[78][82]. 홍해 봉쇄와 송유관 피격이 겹치며 중동 에너지 대란이 현실화될 수 있다는 우려가 나왔다[79][80]. 걸프 국가들이 호르무즈 우회 송유관 확보에 나서고 있으나 완전 대체는 불가능하다는 분석이 제기되었다[81]. 삼성E&amp;A는 사우디에서 35억 달러 규모의 비료 플랜트를 수주하였다[85]. 정부는 LNG 용량시장을 연내 개설하기로 하였다[86][87].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2151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99</w:t>
            </w:r>
          </w:p>
        </w:tc>
        <w:tc>
          <w:tcPr>
            <w:tcW w:type="dxa" w:w="2946"/>
          </w:tcPr>
          <w:p>
            <w:r>
              <w:t>4.6%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166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331</w:t>
            </w:r>
          </w:p>
        </w:tc>
        <w:tc>
          <w:tcPr>
            <w:tcW w:type="dxa" w:w="2946"/>
          </w:tcPr>
          <w:p>
            <w:r>
              <w:t>15.4%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1555</w:t>
            </w:r>
          </w:p>
        </w:tc>
        <w:tc>
          <w:tcPr>
            <w:tcW w:type="dxa" w:w="2946"/>
          </w:tcPr>
          <w:p>
            <w:r>
              <w:t>72.3%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