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2026-06-05</w:t>
      </w:r>
    </w:p>
    <w:p>
      <w:pPr>
        <w:jc w:val="center"/>
      </w:pPr>
      <w:r>
        <w:rPr>
          <w:color w:val="808080"/>
          <w:sz w:val="18"/>
        </w:rPr>
        <w:t>생성 모델: claude-sonnet-4-6  |  HIGH+MEDIUM 307건 (해외 146건 / 국내 161건)</w:t>
      </w:r>
    </w:p>
    <w:p/>
    <w:p>
      <w:pPr>
        <w:pStyle w:val="Heading2"/>
      </w:pPr>
      <w:r>
        <w:t>오늘의 핵심</w:t>
      </w:r>
    </w:p>
    <w:p>
      <w:r>
        <w:t>미-이란 전쟁 100일째[18], 호르무즈 해협은 여전히 봉쇄 상태이며 이란은 오만만에서 미 구축함을 향해 경고 미사일·드론을 발사했다[2][3]. 오만 미나알파할 원유 수출 터미널에서 드론 공격으로 추정되는 폭발이 발생해 선적이 일시 중단됐다가 재개됐으며[14][35][45], 이란은 호르무즈 통과 선박에 '서비스 요금' 부과를 강행하고 미국은 이를 지불하는 선박도 제재하겠다고 경고했다[16][23]. 중동 해운운임은 6주 연속 상승해 4,615달러로 최고 기록을 경신했고[29], SCFI도 6주 연속 상승하며 2,700선을 회복했다[31]. 한국은 캐나다산 LNG 첫 인천 입항[44][47][49]과 한-사우디 원유·나프타 공급망 협력 강화[15][17]를 통해 에너지 공급 다변화에 나서고 있으며, 미 석유업계는 트럼프 행정부에 수주 내 유가 급등 가능성을 경고하고 배럴당 160달러 가능성도 제기됐다[57][63].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24 / MEDIUM 87)</w:t>
      </w:r>
    </w:p>
    <w:p>
      <w:r>
        <w:rPr>
          <w:b/>
        </w:rPr>
        <w:t>🌐 해외 상황</w:t>
      </w:r>
    </w:p>
    <w:p>
      <w:r>
        <w:t>이란은 오만만에서 미 구축함을 향해 경고 미사일 및 드론을 발사했다[2][3]. 미군은 인도양에서 제재 대상 대형 유조선을 차단하며 '어디서든 이란 지원을 저지하겠다'고 밝혔다[11][12]. 미국은 이란 LPG 밀수 네트워크에 대한 제재를 부과했으며[1][9], 트럼프 대통령은 이란과의 합의 서명 즉시 호르무즈 해협이 열릴 것이라고 언급했다[8]. 협상이 교착 상태인 가운데 이란의 호르무즈 장악은 여전히 유지되고 있으며[5], 세계 원유 공급이 운영 가능한 최저 수준에 근접하고 있다는 분석도 나왔다[4].</w:t>
      </w:r>
    </w:p>
    <w:p>
      <w:r>
        <w:rPr>
          <w:b/>
        </w:rPr>
        <w:t>🇰🇷 국내 영향</w:t>
      </w:r>
    </w:p>
    <w:p>
      <w:r>
        <w:t>한국과 사우디아라비아는 원유·나프타 안정적 수급을 위한 자원안보 동맹 강화를 논의했으며[15], 한-사우디 원유 공동비축 확대를 추진하며 호르무즈 리스크에 공동 대응하기로 했다[17]. 이란은 호르무즈 통과 선박에 '서비스 요금' 부과를 강행하고 있으며, 미국은 이를 지불하는 선박도 제재하겠다고 경고해 한국 선사들의 운항 결정에 압박이 가중되고 있다[16]. 미-이란 전쟁 100일째에도 호르무즈 해협이 닫혀 있는 상황이 지속되고 있다[18].</w:t>
      </w:r>
    </w:p>
    <w:p>
      <w:pPr>
        <w:pStyle w:val="Heading3"/>
      </w:pPr>
      <w:r>
        <w:t>해양안전  (HIGH 0 / MEDIUM 2)</w:t>
      </w:r>
    </w:p>
    <w:p>
      <w:r>
        <w:rPr>
          <w:b/>
        </w:rPr>
        <w:t>🇰🇷 국내 영향</w:t>
      </w:r>
    </w:p>
    <w:p>
      <w:r>
        <w:t>부산 북항에 정박 중인 선박에서 구멍으로 기름이 유출되는 사고가 발생했으며, 부산 해경이 24시간 만에 차단했다[22]. 해경 추적 끝에 중질유 496리터를 유출한 파공 오염원 선박이 적발됐다[21].</w:t>
      </w:r>
    </w:p>
    <w:p>
      <w:pPr>
        <w:pStyle w:val="Heading3"/>
      </w:pPr>
      <w:r>
        <w:t>운임·물류비  (HIGH 4 / MEDIUM 7)</w:t>
      </w:r>
    </w:p>
    <w:p>
      <w:r>
        <w:rPr>
          <w:b/>
        </w:rPr>
        <w:t>🌐 해외 상황</w:t>
      </w:r>
    </w:p>
    <w:p>
      <w:r>
        <w:t>이란은 호르무즈 해협 통과에 대해 '통행료'가 아닌 '서비스 요금' 명목으로 징수를 추진하고 있다[23][24]. 파나마 운하는 엘니뇨로 인해 내년 통항이 둔화될 가능성이 제기됐다[25]. 홍해 우회 컨테이너선 통항이 둔화되고 있으며[26], UAE 후자이라가 호르무즈 우회 '플랜B' 거점으로 부상하고 있다[27]. 중국의 첫 강-해 연결 운하가 핵심 시험 단계에 진입해 ASEAN과의 연결성 강화가 기대된다[28].</w:t>
      </w:r>
    </w:p>
    <w:p>
      <w:r>
        <w:rPr>
          <w:b/>
        </w:rPr>
        <w:t>🇰🇷 국내 영향</w:t>
      </w:r>
    </w:p>
    <w:p>
      <w:r>
        <w:t>중동 해운운임이 4,615달러로 또다시 최고 기록을 경신했다[29]. SCFI는 6주 연속 상승하며 2,700선을 회복했다[31]. 오만의 호르무즈 통행료 계획 동조 여부에 대한 미국의 의심이 커지고 있다[30]. 물류비 폭등으로 계약 무산 사례까지 발생하며 중소기업의 중동 관련 피해가 눈덩이처럼 불어나고 있다[32][33].</w:t>
      </w:r>
    </w:p>
    <w:p>
      <w:pPr>
        <w:pStyle w:val="Heading3"/>
      </w:pPr>
      <w:r>
        <w:t>항만·화물  (HIGH 14 / MEDIUM 10)</w:t>
      </w:r>
    </w:p>
    <w:p>
      <w:r>
        <w:rPr>
          <w:b/>
        </w:rPr>
        <w:t>🌐 해외 상황</w:t>
      </w:r>
    </w:p>
    <w:p>
      <w:r>
        <w:t>오만 미나알파할 원유 수출 터미널에서 폭발이 발생해 선적이 중단됐다가 이후 정상 운영이 재개됐다[35][36][39][40]. 쿠웨이트 원유 생산은 6~8주 내 70% 회복이 전망된다[37]. 한국이 에너지 충격에 대응해 캐나다산 LNG 도입을 확대하고 원유 수입을 3배로 늘릴 계획이라는 보도가 나왔다[34]. 싱가포르는 2026년까지 카타르 공급을 대체할 LNG를 확보했다[38].</w:t>
      </w:r>
    </w:p>
    <w:p>
      <w:r>
        <w:rPr>
          <w:b/>
        </w:rPr>
        <w:t>🇰🇷 국내 영향</w:t>
      </w:r>
    </w:p>
    <w:p>
      <w:r>
        <w:t>5월 울산항 원유 반입량은 350만 톤으로 4월 대비 7.3% 증가했으며, 비중동산 비중이 확대됐다[41][42][43]. 가스공사가 참여한 캐나다산 LNG가 인천항에 처음 입항했으며[44][47][49], 2031년까지 LNG 140만 톤 확보가 예정돼 있다[49]. 오만 원유 터미널 폭발로 선적이 중단됐다가 재개됐다[45]. 캐나다 LNG 도입은 호르무즈 해협·파나마 운하 우회 없는 안정적 공급망 확보 차원으로 평가된다[46][48][101].</w:t>
      </w:r>
    </w:p>
    <w:p>
      <w:pPr>
        <w:pStyle w:val="Heading3"/>
      </w:pPr>
      <w:r>
        <w:t>경제·금융  (HIGH 3 / MEDIUM 118)</w:t>
      </w:r>
    </w:p>
    <w:p>
      <w:r>
        <w:rPr>
          <w:b/>
        </w:rPr>
        <w:t>🌐 해외 상황</w:t>
      </w:r>
    </w:p>
    <w:p>
      <w:r>
        <w:t>미 석유업계 경영진들이 트럼프 행정부에 수주 내 유가 급등 가능성을 경고했으며[55][57], 글로벌 재고가 '탱크 바닥' 수준에 근접했다는 우려가 제기됐다[55]. 반면 미-이란 전쟁 협상 기대감으로 유가는 하락세를 보이기도 했다[51][52][56]. 미국 원유 수출 급증으로 국내 재고가 바닥에 근접하고 있으며[53], 트럼프 대통령은 알래스카 원유·가스 시추 확대를 추진하고 있다[54]. OPEC 사무총장은 올해 글로벌 원유 수요가 견조할 것이라고 밝혔다[58].</w:t>
      </w:r>
    </w:p>
    <w:p>
      <w:r>
        <w:rPr>
          <w:b/>
        </w:rPr>
        <w:t>🇰🇷 국내 영향</w:t>
      </w:r>
    </w:p>
    <w:p>
      <w:r>
        <w:t>미 석유업계가 배럴당 160달러 가능성을 경고하는 가운데[63], 고유가 쇼크가 한국 기업 수익성을 강타하며 화학·농업 업종이 직격탄을 맞고 있다[64]. 외국인 주식 매도로 원/달러 환율이 1,550원에 육박했으며[65], 달러-원은 뉴욕 시장에서 1,540원 초반대에 거래됐다[68]. 미국 5월 신규 고용이 17만 2,000명으로 예상치의 2배를 상회하며 연준 금리 인상 가능성이 높아졌고[67][69][70], 이는 한국 금융시장에 추가 압박 요인으로 작용할 가능성이 있다. KOSPI는 미 반도체주 급락 여파로 5% 하락했다[61].</w:t>
      </w:r>
    </w:p>
    <w:p>
      <w:pPr>
        <w:pStyle w:val="Heading3"/>
      </w:pPr>
      <w:r>
        <w:t>해운  (HIGH 1 / MEDIUM 16)</w:t>
      </w:r>
    </w:p>
    <w:p>
      <w:r>
        <w:rPr>
          <w:b/>
        </w:rPr>
        <w:t>🌐 해외 상황</w:t>
      </w:r>
    </w:p>
    <w:p>
      <w:r>
        <w:t>분석가들에 따르면 약 900척에 달하는 유조선이 호르무즈 해협 통과를 위해 AIS를 끄고 '다크' 운항을 한 것으로 나타났다[71]. UAE 후자이라가 호르무즈 우회 글로벌 원유 무역의 핵심 거점으로 부상하고 있다[74]. 트라피구라는 정기용선 노출을 줄이기 위해 자체 보유 VLCC 선대를 확대하고 있다[72]. 머스크는 인도-중국 무역 연결성 강화를 위한 FI2 해상 서비스를 출시했다[73].</w:t>
      </w:r>
    </w:p>
    <w:p>
      <w:r>
        <w:rPr>
          <w:b/>
        </w:rPr>
        <w:t>🇰🇷 국내 영향</w:t>
      </w:r>
    </w:p>
    <w:p>
      <w:r>
        <w:t>HD현대는 SMR(소형모듈원자로) 추진 자동차운반선 개발에 속도를 내며 영국선급으로부터 기본인증을 획득했다[75][76][77][79][80][82]. K조선은 SMR·바이오 등 친환경 연료 개념설계 승인을 받았으며[83], HJ중공업은 1만 TEU급 바이오연료 추진 컨테이너선을 개발했다[84]. STX그린로지스는 96억 원 규모의 장기 대선 계약을 체결했다[78]. 인천-르자오 컨테이너 항로 및 대산-스다오 카페리 항로 개설이 합의됐다[81].</w:t>
      </w:r>
    </w:p>
    <w:p>
      <w:pPr>
        <w:pStyle w:val="Heading3"/>
      </w:pPr>
      <w:r>
        <w:t>물류  (HIGH 2 / MEDIUM 0)</w:t>
      </w:r>
    </w:p>
    <w:p>
      <w:r>
        <w:rPr>
          <w:b/>
        </w:rPr>
        <w:t>🇰🇷 국내 영향</w:t>
      </w:r>
    </w:p>
    <w:p>
      <w:r>
        <w:t>중동발 수출 중소기업 피해 건수가 901건을 돌파했으며, 운송 차질과 물류비 부담이 가중되고 있다[85][86]. 운송이 막히고 계약이 끊기는 사례가 속출하고 있다[85][86].</w:t>
      </w:r>
    </w:p>
    <w:p>
      <w:pPr>
        <w:pStyle w:val="Heading3"/>
      </w:pPr>
      <w:r>
        <w:t>기타 산업  (HIGH 10 / MEDIUM 9)</w:t>
      </w:r>
    </w:p>
    <w:p>
      <w:r>
        <w:rPr>
          <w:b/>
        </w:rPr>
        <w:t>🌐 해외 상황</w:t>
      </w:r>
    </w:p>
    <w:p>
      <w:r>
        <w:t>ADB는 원유 공급 교란이 지속될 경우 의약품 공급망이 타격을 받을 수 있다고 경고했다[87]. 파키스탄은 호르무즈 위기로 카타르 공급이 차단되면서 4년 만에 가장 비싼 LNG 화물을 구매했다[88][90]. FAO가 추적하는 세계 곡물 가격이 연료·비료 가격 상승으로 19개월 만에 최고치를 기록했다[91]. EU는 중동 공급 차질에도 불구하고 항공유 부족 사태는 없을 것이라고 밝혔다[92].</w:t>
      </w:r>
    </w:p>
    <w:p>
      <w:r>
        <w:rPr>
          <w:b/>
        </w:rPr>
        <w:t>🇰🇷 국내 영향</w:t>
      </w:r>
    </w:p>
    <w:p>
      <w:r>
        <w:t>산업부는 사우디 아람코와 원유·나프타 공급망 협력 강화 및 플랜트 수주 확대를 논의했다[94][95][96]. 오만 원유 수출 터미널이 드론 공격으로 추정되는 폭발로 선적이 중단됐다[97][98]. '팀코리아'가 4조 원 규모의 미국 첫 FLNG 프로젝트를 수주했으며, 삼성중공업이 단독 EPC를 수행한다[99]. 중동발 에너지 위기가 한국 전력시장에도 영향을 미칠 수 있다는 우려가 제기됐다[102].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2630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58</w:t>
            </w:r>
          </w:p>
        </w:tc>
        <w:tc>
          <w:tcPr>
            <w:tcW w:type="dxa" w:w="2946"/>
          </w:tcPr>
          <w:p>
            <w:r>
              <w:t>2.2%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249</w:t>
            </w:r>
          </w:p>
        </w:tc>
        <w:tc>
          <w:tcPr>
            <w:tcW w:type="dxa" w:w="2946"/>
          </w:tcPr>
          <w:p>
            <w:r>
              <w:t>9.5%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322</w:t>
            </w:r>
          </w:p>
        </w:tc>
        <w:tc>
          <w:tcPr>
            <w:tcW w:type="dxa" w:w="2946"/>
          </w:tcPr>
          <w:p>
            <w:r>
              <w:t>12.2%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2001</w:t>
            </w:r>
          </w:p>
        </w:tc>
        <w:tc>
          <w:tcPr>
            <w:tcW w:type="dxa" w:w="2946"/>
          </w:tcPr>
          <w:p>
            <w:r>
              <w:t>76.1%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