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2026-09-27</w:t>
      </w:r>
    </w:p>
    <w:p>
      <w:pPr>
        <w:jc w:val="center"/>
      </w:pPr>
      <w:r>
        <w:rPr>
          <w:color w:val="808080"/>
          <w:sz w:val="18"/>
        </w:rPr>
        <w:t>생성 모델: claude-sonnet-4-6  |  HIGH+MEDIUM 359건 (해외 246건 / 국내 113건)</w:t>
      </w:r>
    </w:p>
    <w:p/>
    <w:p>
      <w:pPr>
        <w:pStyle w:val="Heading2"/>
      </w:pPr>
      <w:r>
        <w:t>오늘의 핵심</w:t>
      </w:r>
    </w:p>
    <w:p>
      <w:r>
        <w:t>이란 혁명수비대(IRGC)가 호르무즈 해협에서 이달 들어 두 번째 미군 무인 잠수정을 나포했다고 주장하며 군사적 긴장이 고조되고 있다[11][12][14]. 이란이 7일 내 호르무즈 재개방을 조건으로 한 협상안을 제시했으나 트럼프 대통령이 이를 거부했고, 미국 유엔 대사는 이란이 성실하게 협상하지 않았다고 밝혔다[16][17][7]. 호르무즈를 통한 원유 흐름은 전쟁 전 수준의 3분의 2까지 회복된 것으로 보고되었으나, 선박 19척에 대한 공격이 지속되고 있다[24]. 협상 결렬 소식에 국내 금융시장이 재차 긴장하는 가운데[49], 미국 30년 만기 국채금리가 5.5%로 22년 만에 최고치를 기록하며 원화 환율 상승 압력이 가중되고 있다[50]. 국내 유가는 19주째 하락세를 이어가고 있으나[54][58], 중국에서는 휘발유·경유가 이란 전쟁 초기 수준으로 급등한 것으로 보도되었다[57]. 울산항이 북극항로 급유 거점으로 부상하는 등 대체 항로 활용 움직임도 가시화되고 있다[67][68].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133건</w:t>
            </w:r>
          </w:p>
        </w:tc>
        <w:tc>
          <w:tcPr>
            <w:tcW w:type="dxa" w:w="2209"/>
          </w:tcPr>
          <w:p>
            <w:r>
              <w:t>▼44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44건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18건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이라크 원유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▼47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희토류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호르무즈 관련 기사 주중 누적 594건, 최근 8주 같은 기간(월~일) 중앙값 278건의 2.1배. 이 흐름이 지속되면 1~2주 내 유가 상승 압력으로 이어질 수 있음.</w:t>
      </w:r>
    </w:p>
    <w:p>
      <w:r>
        <w:rPr>
          <w:b/>
          <w:color w:val="A06F00"/>
          <w:sz w:val="19"/>
        </w:rPr>
        <w:t>⚡ 주중 신호 — 홍해 관련 기사 주중 누적 380건, 최근 8주 같은 기간(월~일) 중앙값 75건의 5.1배.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158 / MEDIUM 109)</w:t>
      </w:r>
    </w:p>
    <w:p>
      <w:r>
        <w:rPr>
          <w:b/>
        </w:rPr>
        <w:t>🌐 해외 상황</w:t>
      </w:r>
    </w:p>
    <w:p>
      <w:r>
        <w:t>이란 혁명수비대(IRGC)는 호르무즈 해협에서 미군 무인 잠수정을 나포했다고 주장했으며, 이는 이달 들어 두 번째 사례로 보고되었다[1][8][9]. 이란은 7일 내 호르무즈 재개방을 조건으로 한 협상안을 미국에 제시했으나[5], 트럼프 대통령이 이를 거부했고 미국 유엔 대사는 이란이 성실하게 협상하지 않았다고 밝혔다[7][3]. 이란은 트럼프의 거부 이후에도 호르무즈 봉쇄 계획을 유지하겠다는 입장을 고수하고 있으며[6], 미사일 공격으로 인한 위험도 개장 전부터 고조된 상태다[2]. 시리아는 호르무즈 교란에 따른 대안으로 이라크에 휘발유 공급을 시작했다[10]. 트럼프와 시진핑은 이란에 대한 동시 압박 기조를 보이며 핵 보유 및 국제 수로 통행료 부과에 반대 입장을 표명한 것으로 보도되었다[20].</w:t>
      </w:r>
    </w:p>
    <w:p>
      <w:r>
        <w:rPr>
          <w:b/>
        </w:rPr>
        <w:t>🇰🇷 국내 영향</w:t>
      </w:r>
    </w:p>
    <w:p>
      <w:r>
        <w:t>국내 언론은 IRGC의 미군 무인 잠수정 나포 주장을 일제히 보도하며 호르무즈 해협의 군사적 긴장 고조를 집중 조명했다[11][12][13][14][15]. 이란의 7일 내 재개방 제안을 트럼프가 거부하면서 협상 교착 상태가 지속되고 있으며[16][18][19], 이란은 물러서지 않겠다는 입장을 재확인했다[17]. 트럼프·시진핑의 이란 동시 압박 보도는 국제 외교 구도 변화 가능성을 시사하는 것으로 보인다[20].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인도에서는 IMO의 해운업계 탄소세 계획과 트럼프 행정부의 이에 대한 반대 입장이 보도되었다[21]. 인도 바라트 해상보험풀(Bharat Maritime Insurance Pool)이 전쟁 위험 보험을 통해 해운 업계를 지원하고 있다는 내용이 보도되었다[22].</w:t>
      </w:r>
    </w:p>
    <w:p>
      <w:r>
        <w:rPr>
          <w:b/>
        </w:rPr>
        <w:t>🇰🇷 국내 영향</w:t>
      </w:r>
    </w:p>
    <w:p>
      <w:r>
        <w:t>남해해경 관할 해역에서 선박 연료유 황함유량 초과 위반 17건이 적발되었다[23].</w:t>
      </w:r>
    </w:p>
    <w:p>
      <w:pPr>
        <w:pStyle w:val="Heading3"/>
      </w:pPr>
      <w:r>
        <w:t>운임·물류비  (HIGH 2 / MEDIUM 4)</w:t>
      </w:r>
    </w:p>
    <w:p>
      <w:r>
        <w:rPr>
          <w:b/>
        </w:rPr>
        <w:t>🌐 해외 상황</w:t>
      </w:r>
    </w:p>
    <w:p>
      <w:r>
        <w:t>호르무즈를 통한 원유 흐름이 전쟁 전 수준의 3분의 2까지 회복되었으나, 선박 19척에 대한 공격이 지속되고 있다[24]. 예멘 전쟁으로 홍해 항로가 막히면서 지부티 물가가 급등해 에티오피아 트럭 운송업자들이 타격을 받고 있다[25]. 제품 유조선 운임이 상승세를 보이고 있으며[26], 아시아 역내 컨테이너 운임 지수(Intra Asia Container Index)는 전주 대비 6% 상승했다[27].</w:t>
      </w:r>
    </w:p>
    <w:p>
      <w:pPr>
        <w:pStyle w:val="Heading3"/>
      </w:pPr>
      <w:r>
        <w:t>항만·화물  (HIGH 0 / MEDIUM 9)</w:t>
      </w:r>
    </w:p>
    <w:p>
      <w:r>
        <w:rPr>
          <w:b/>
        </w:rPr>
        <w:t>🌐 해외 상황</w:t>
      </w:r>
    </w:p>
    <w:p>
      <w:r>
        <w:t>리비아는 무장 세력에 의해 차단되었던 샤라라-자위야 원유 파이프라인 운영을 재개했다[32][33]. 이라크는 미국과 달러 현금 공급 재개에 합의했다[31]. 이라크, 시리아, 레바논은 걸프와 유럽을 잇는 새로운 대체 회랑 구축을 모색하고 있다[63].</w:t>
      </w:r>
    </w:p>
    <w:p>
      <w:r>
        <w:rPr>
          <w:b/>
        </w:rPr>
        <w:t>🇰🇷 국내 영향</w:t>
      </w:r>
    </w:p>
    <w:p>
      <w:r>
        <w:t>항만 사이버 공격이 증가하고 있으나 해경 전담 인력은 8명에 불과한 것으로 지적되었다[34][36]. 울산항만공사는 조선사 안벽 부족 해소를 지원하기로 했다[35]. 이라크의 관세·통관 시스템 변경으로 혼란이 가중되고 있어 대이라크 교역에 영향이 우려된다[37]. 액체화물 특화항의 경쟁력 유지를 위한 수익·투자 권한 향방이 주목받고 있다[38].</w:t>
      </w:r>
    </w:p>
    <w:p>
      <w:pPr>
        <w:pStyle w:val="Heading3"/>
      </w:pPr>
      <w:r>
        <w:t>경제·금융  (HIGH 0 / MEDIUM 45)</w:t>
      </w:r>
    </w:p>
    <w:p>
      <w:r>
        <w:rPr>
          <w:b/>
        </w:rPr>
        <w:t>🌐 해외 상황</w:t>
      </w:r>
    </w:p>
    <w:p>
      <w:r>
        <w:t>트럼프 대통령은 이란이 포기하면 원유 가격이 곧 하락할 것이라고 발언했다[42]. 미국의 디젤 수출 금지 카드가 거론되면서 WTI와 브렌트유 간 격차가 확대되는 등 원유 시장이 흔들리고 있다[43][55]. 호르무즈 외교 상황이 불안정한 가운데 인플레이션과 고용지표 발표를 앞두고 원자재 시장이 엇갈린 위험에 직면해 있다[44]. 유럽 가스 가격은 이번 겨울 추가 상승 가능성이 제기되고 있다[39].</w:t>
      </w:r>
    </w:p>
    <w:p>
      <w:r>
        <w:rPr>
          <w:b/>
        </w:rPr>
        <w:t>🇰🇷 국내 영향</w:t>
      </w:r>
    </w:p>
    <w:p>
      <w:r>
        <w:t>미국·이란 협상 결렬 소식에 국내 금융시장이 재차 긴장하는 모습을 보였다[49]. 미국 30년 만기 국채금리가 5.5%로 22년 만에 최고치를 기록하며 원화 환율 상승 압력이 가중되고 있고[50], 주간 환율 전망에서는 중동 긴장과 네고 물량 등이 혼재하며 1350원대 박스권이 예상되고 있다[51]. 코스피는 뉴욕증시 훈풍에도 금리·유가 변수로 불확실성이 지속되고 있으며[53], 국내 유가는 19주째 하락세를 이어가고 있다[54][58]. 중국에서는 휘발유·경유가 이란 전쟁 초기 수준으로 급등한 것으로 보도되었다[57].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최근 5년여간 불법어업 6,636건이 적발되었으며 어구 위반이 가장 많은 것으로 나타났다[60]. 국회에서는 매년 반복되는 불법어업 문제 해결을 위해 단속을 넘어선 제도적 대응이 필요하다는 지적이 제기되었다[59].</w:t>
      </w:r>
    </w:p>
    <w:p>
      <w:pPr>
        <w:pStyle w:val="Heading3"/>
      </w:pPr>
      <w:r>
        <w:t>해운  (HIGH 0 / MEDIUM 8)</w:t>
      </w:r>
    </w:p>
    <w:p>
      <w:r>
        <w:rPr>
          <w:b/>
        </w:rPr>
        <w:t>🌐 해외 상황</w:t>
      </w:r>
    </w:p>
    <w:p>
      <w:r>
        <w:t>중국이 PCTC(자동차 운반선) 수주를 확대하는 가운데 유럽이 방향을 전환하고 한국은 LNG 운반선에 집중하는 구도가 보도되었다[62]. LNG 운반선 분야에서 한국의 경쟁 우위에 대해 중국의 부상이 위협 요인으로 지목되었다[61].</w:t>
      </w:r>
    </w:p>
    <w:p>
      <w:r>
        <w:rPr>
          <w:b/>
        </w:rPr>
        <w:t>🇰🇷 국내 영향</w:t>
      </w:r>
    </w:p>
    <w:p>
      <w:r>
        <w:t>해진공(한국해양진흥공사)은 북극항로 이용 본격화에 대비해 선사의 쇄빙·내빙선 확보를 지원하기로 했다[64]. 북서항로를 운항하는 선박들이 울산항에 잇달아 기항하고 있으며[66], 울산항은 북극항로 급유 거점으로 부상하고 있다[67][68]. 연이은 선박 해킹 사고에 대응해 국내 해운업계가 사이버 보안 강화에 나서고 있다[65].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한국과 멕시코 간 무역협정 논의가 본격화되면서 광물·공급망 협력도 확대될 전망이다[69]. 전재수 부산시장은 주부산 일본 총영사와 접견하며 관광·해양물류·북극항로 협력 방안을 논의했다[70].</w:t>
      </w:r>
    </w:p>
    <w:p>
      <w:pPr>
        <w:pStyle w:val="Heading3"/>
      </w:pPr>
      <w:r>
        <w:t>기타 산업  (HIGH 2 / MEDIUM 15)</w:t>
      </w:r>
    </w:p>
    <w:p>
      <w:r>
        <w:rPr>
          <w:b/>
        </w:rPr>
        <w:t>🌐 해외 상황</w:t>
      </w:r>
    </w:p>
    <w:p>
      <w:r>
        <w:t>러시아가 우크라이나 군사 인프라와 선박을 공격했다고 밝혔다[71]. 인도가 첫 번째 LNG 트레인을 역사적으로 가동 개시했다[73].</w:t>
      </w:r>
    </w:p>
    <w:p>
      <w:r>
        <w:rPr>
          <w:b/>
        </w:rPr>
        <w:t>🇰🇷 국내 영향</w:t>
      </w:r>
    </w:p>
    <w:p>
      <w:r>
        <w:t>국내 LNG 가격이 원유보다 더 큰 폭으로 상승하며 겨울까지 고공행진이 예상된다[79]. 한국과 멕시코 간 원유·공급망 협력 논의가 진행되었으며[80], 최태원 대한상의 회장은 한국 기술·투자와 멕시코 제조 기반의 결합 가능성을 강조했다[81][82][83][84]. 조선·철강 업계에서는 파업 장기화 경고등이 켜졌으며 추석 이후에도 합의가 어려울 것으로 보인다[85]. 전남 여수 석유화학·광양 철강 산업 위기 대응을 위해 388억 원 긴급 지원이 이루어졌다[86][87].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2758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162</w:t>
            </w:r>
          </w:p>
        </w:tc>
        <w:tc>
          <w:tcPr>
            <w:tcW w:type="dxa" w:w="2946"/>
          </w:tcPr>
          <w:p>
            <w:r>
              <w:t>5.9%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197</w:t>
            </w:r>
          </w:p>
        </w:tc>
        <w:tc>
          <w:tcPr>
            <w:tcW w:type="dxa" w:w="2946"/>
          </w:tcPr>
          <w:p>
            <w:r>
              <w:t>7.1%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390</w:t>
            </w:r>
          </w:p>
        </w:tc>
        <w:tc>
          <w:tcPr>
            <w:tcW w:type="dxa" w:w="2946"/>
          </w:tcPr>
          <w:p>
            <w:r>
              <w:t>14.1%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2009</w:t>
            </w:r>
          </w:p>
        </w:tc>
        <w:tc>
          <w:tcPr>
            <w:tcW w:type="dxa" w:w="2946"/>
          </w:tcPr>
          <w:p>
            <w:r>
              <w:t>72.8%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