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해상 공급망 모니터링 일일 분석 — 2026-04-07</w:t>
      </w:r>
    </w:p>
    <w:p>
      <w:pPr>
        <w:jc w:val="center"/>
      </w:pPr>
      <w:r>
        <w:rPr>
          <w:color w:val="808080"/>
          <w:sz w:val="18"/>
        </w:rPr>
        <w:t>생성 모델: claude-sonnet-4-6  |  HIGH+MEDIUM 711건 (해외 371건 / 국내 340건)</w:t>
      </w:r>
    </w:p>
    <w:p/>
    <w:p>
      <w:pPr>
        <w:pStyle w:val="Heading2"/>
      </w:pPr>
      <w:r>
        <w:t>오늘의 핵심</w:t>
      </w:r>
    </w:p>
    <w:p>
      <w:r>
        <w:t>미군이 이란의 원유 수출 거점인 하르그섬 군사시설을 공습하고 트럼프 대통령이 최후통첩을 발령한 가운데, 국제유가는 배럴당 110~115달러를 돌파하며 급등세를 이어가고 있다. 유엔 안보리에서 러시아·중국이 호르무즈 해협 재개방 결의안에 거부권을 행사하면서 외교적 해결 경로가 차단됐으며, 이란은 바브엘만데브 해협 추가 봉쇄 가능성을 경고하고 사우디아라비아 주바일 석유화학 단지를 공격하는 등 분쟁이 확전 양상을 보이고 있다. 한국 정부는 17개국에서 4~5월 대체원유 1억 1,000만 배럴(평시 대비 60~70%)과 나프타 80%대를 확보했으며, 강훈식 특사가 사우디·오만·카자흐스탄으로 출국해 추가 확보 협의에 나섰다. 서울 휘발유 가격이 2,000원을 돌파하고 5월 국내선 유류할증료가 역대 최대 폭인 4.4배 인상되는 등 에너지 가격 충격이 소비자에게 직접 전달되고 있으며, 나프타 공급 대란으로 석유화학 공장 가동 중단과 의료소모품 수급 위기까지 확산되고 있다.</w:t>
      </w:r>
    </w:p>
    <w:p/>
    <w:p>
      <w:pPr>
        <w:pStyle w:val="Heading2"/>
      </w:pPr>
      <w:r>
        <w:t>카테고리별 분석</w:t>
      </w:r>
    </w:p>
    <w:p>
      <w:pPr>
        <w:pStyle w:val="Heading3"/>
      </w:pPr>
      <w:r>
        <w:t>안보·군사  (HIGH 140 / MEDIUM 214)</w:t>
      </w:r>
    </w:p>
    <w:p>
      <w:r>
        <w:rPr>
          <w:b/>
        </w:rPr>
        <w:t>🌐 해외 상황</w:t>
      </w:r>
    </w:p>
    <w:p>
      <w:r>
        <w:t>미군이 이란의 원유 수출 거점인 하르그섬 군사시설을 공습했으며, 트럼프 대통령은 이란 교량·발전소 타격 및 이란 문명 소멸을 경고하는 최후통첩을 발령했다. 유엔 안보리에서 러시아와 중국이 호르무즈 해협 재개방 결의안에 거부권을 행사해 국제 외교적 해결 경로가 막혔으며, 미국은 이를 이란의 '마지막 행동'이 될 수 있다고 경고했다. 이란은 트럼프의 '이란 소멸' 위협에 반발하며 바브엘만데브 해협 추가 봉쇄 가능성을 경고했고, 사우디아라비아 주바일 석유화학 단지를 공격했으며 이스라엘·UAE·쿠웨이트 에너지·산업 인프라도 타격했다고 밝혔다. 카타르는 전쟁이 통제 불능 지점에 근접했다고 경고했으며, 파나마 운하 위에 놓인 교량에서 유류 탱커 폭발로 교량이 폐쇄되는 별도의 물류 교란도 발생했다.</w:t>
      </w:r>
    </w:p>
    <w:p>
      <w:r>
        <w:rPr>
          <w:b/>
        </w:rPr>
        <w:t>🇰🇷 국내 영향</w:t>
      </w:r>
    </w:p>
    <w:p>
      <w:r>
        <w:t>한국 정부는 강훈식 특사를 사우디·오만·카자흐스탄에 파견해 원유·나프타 추가 확보 협의에 나섰으며, 산업부 장관도 중동을 방문해 수급 차질 해소에 총력을 기울이고 있다. 이란이 바브엘만데브 해협 추가 봉쇄를 경고함에 따라 홍해 우회 항로마저 위협받을 가능성이 있어 한국의 중동산 원유 수입 경로 전반이 불안정한 상황이다. 전직 트럼프 행정부 관리가 한국을 포함한 'Quint' 확대 쿼드 구성을 제안하는 등 한국의 안보 역할 확대 논의도 부상하고 있다.</w:t>
      </w:r>
    </w:p>
    <w:p>
      <w:pPr>
        <w:pStyle w:val="Heading3"/>
      </w:pPr>
      <w:r>
        <w:t>운임·물류비  (HIGH 3 / MEDIUM 12)</w:t>
      </w:r>
    </w:p>
    <w:p>
      <w:r>
        <w:rPr>
          <w:b/>
        </w:rPr>
        <w:t>🌐 해외 상황</w:t>
      </w:r>
    </w:p>
    <w:p>
      <w:r>
        <w:t>발틱건화물운임지수(BDI)가 29포인트 상승해 2,095를 기록했다. 인도 망고 수출업체들은 이란 전쟁으로 냉장 컨테이너 부족과 비용 상승을 우려하고 있으며, 일본은 중동 리스크 상승에 대응해 해상 원유 환적 방식을 활용하고 있다.</w:t>
      </w:r>
    </w:p>
    <w:p>
      <w:r>
        <w:rPr>
          <w:b/>
        </w:rPr>
        <w:t>🇰🇷 국내 영향</w:t>
      </w:r>
    </w:p>
    <w:p>
      <w:r>
        <w:t>5월 국내선 유류할증료가 역대 최대 인상폭인 4.4배 상승하며 제주 등 국내 항공 노선 이용객 부담이 급증하고 있다. 백령도 뱃길의 경우 하루 추가 기름값이 1,000만 원에 달하는 것으로 보도됐으며 유가보조금 사각지대 문제가 제기됐다. 월가 분석업체에 따르면 호르무즈 통항 선박이 최근 하루 15척 수준으로 집계됐으며, 호르무즈 해협 개방 시한 임박으로 세계 시장이 요동치고 있다.</w:t>
      </w:r>
    </w:p>
    <w:p>
      <w:pPr>
        <w:pStyle w:val="Heading3"/>
      </w:pPr>
      <w:r>
        <w:t>항만·화물  (HIGH 14 / MEDIUM 6)</w:t>
      </w:r>
    </w:p>
    <w:p>
      <w:r>
        <w:rPr>
          <w:b/>
        </w:rPr>
        <w:t>🌐 해외 상황</w:t>
      </w:r>
    </w:p>
    <w:p>
      <w:r>
        <w:t>한국이 5월분 대체 원유 6,000만 배럴을 확보했다고 인도 매체가 보도했으며, 호주도 5월까지 연료 공급을 확보하고 아시아 공급 안정을 확인했다. 호주 총리는 싱가포르 방문에서 연료 공급 문제를 논의할 예정이다.</w:t>
      </w:r>
    </w:p>
    <w:p>
      <w:r>
        <w:rPr>
          <w:b/>
        </w:rPr>
        <w:t>🇰🇷 국내 영향</w:t>
      </w:r>
    </w:p>
    <w:p>
      <w:r>
        <w:t>한국 정부는 17개국에서 4~5월 대체원유 총 1억 1,000만 배럴(평시 사용량 대비 60~70%)을 확보했으며, 나프타는 5월 80%대 공급을 목표로 하고 있다. 4월 대체원유는 평시 대비 60%, 5월은 70% 수준이며 나프타는 5월이 고비로 지목됐다. 강훈식 특사는 카자흐스탄·오만·사우디아라비아를 방문해 추가 원유·나프타 확보 협의를 진행 중이며, 정부는 일본보다 나은 상황이라고 평가한 것으로 보도됐다.</w:t>
      </w:r>
    </w:p>
    <w:p>
      <w:pPr>
        <w:pStyle w:val="Heading3"/>
      </w:pPr>
      <w:r>
        <w:t>경제·금융  (HIGH 32 / MEDIUM 149)</w:t>
      </w:r>
    </w:p>
    <w:p>
      <w:r>
        <w:rPr>
          <w:b/>
        </w:rPr>
        <w:t>🌐 해외 상황</w:t>
      </w:r>
    </w:p>
    <w:p>
      <w:r>
        <w:t>미군의 하르그섬 공습 이후 국제유가는 배럴당 115달러를 돌파했으며, 트럼프 최후통첩 시한을 앞두고 110달러를 상회하는 수준을 유지했다. 미국 EIA는 호르무즈가 재개방되더라도 연료 가격이 수개월간 계속 오를 수 있다고 전망했으며, IEA는 현재 에너지 위기가 1973년·1979년·2002년 위기를 합친 것보다 심각하다고 평가했다. 뉴욕증시 다우지수는 이란 협상 타결 기대 약화로 200포인트 이상 하락했으며, LG에너지솔루션은 중동 위기 여파로 1분기 영업손실을 기록했다.</w:t>
      </w:r>
    </w:p>
    <w:p>
      <w:r>
        <w:rPr>
          <w:b/>
        </w:rPr>
        <w:t>🇰🇷 국내 영향</w:t>
      </w:r>
    </w:p>
    <w:p>
      <w:r>
        <w:t>서울 휘발유 가격이 2,000원을 돌파해 러·우 전쟁 이후 약 3년 8개월 만에 최고치를 기록했으며, 대구 등 지방 도시도 2,000원에 근접했다. 사우디 아람코는 아시아 고객에게 5월분부터 배럴당 20달러의 프리미엄을 부과하기 시작했으며, 이는 사상 최고 수준으로 국내 정유사에 직격탄이 되고 있다. 치솟는 유가에 환율 충격까지 겹치며 '중동발 복합 위기'로 한국 경제에 비상이 걸렸으며, '3차 오일쇼크' 장기 대책 부재에 대한 우려가 제기되고 있다.</w:t>
      </w:r>
    </w:p>
    <w:p>
      <w:pPr>
        <w:pStyle w:val="Heading3"/>
      </w:pPr>
      <w:r>
        <w:t>수산물  (HIGH 0 / MEDIUM 1)</w:t>
      </w:r>
    </w:p>
    <w:p>
      <w:r>
        <w:rPr>
          <w:b/>
        </w:rPr>
        <w:t>🌐 해외 상황</w:t>
      </w:r>
    </w:p>
    <w:p>
      <w:r>
        <w:t>태국 어업계는 이란 전쟁으로 인한 연료비 급등으로 출어를 꺼리고 있다.</w:t>
      </w:r>
    </w:p>
    <w:p>
      <w:pPr>
        <w:pStyle w:val="Heading3"/>
      </w:pPr>
      <w:r>
        <w:t>해운  (HIGH 15 / MEDIUM 6)</w:t>
      </w:r>
    </w:p>
    <w:p>
      <w:r>
        <w:rPr>
          <w:b/>
        </w:rPr>
        <w:t>🌐 해외 상황</w:t>
      </w:r>
    </w:p>
    <w:p>
      <w:r>
        <w:t>말레이시아 선박 6척이 이란 대사 발표에 따라 단계적으로 호르무즈 해협을 통과할 예정이며, 말레이시아 선박 1척이 이란과의 외교 협의 후 안전하게 통과했다. 주말 기간 호르무즈 해협 통항량이 이란 전쟁 발발 이후 최고 수준으로 상승했으나, 이란은 카라치행 선박을 돌려보내 뭄바이로 향하게 하는 등 선별적 통제를 유지하고 있다. 현대자동차는 중동 분쟁으로 인한 해운 교란으로 수출 차질이 발생했다고 밝혔으며, 인도 GAIL은 LNG 운반선 장기 용선 계약을 체결했다.</w:t>
      </w:r>
    </w:p>
    <w:p>
      <w:r>
        <w:rPr>
          <w:b/>
        </w:rPr>
        <w:t>🇰🇷 국내 영향</w:t>
      </w:r>
    </w:p>
    <w:p>
      <w:r>
        <w:t>중동 산유국들이 호르무즈를 우회해 홍해 경로로 공급하는 방안을 추진 중이며, 청해부대 호위 하에 사우디 얀부항(하루 500만 배럴 처리)을 통한 홍해 루트 활용이 논의되고 있다. 호르무즈 해협에 '이중항로'가 등장하며 해상 운송 재편 가능성이 제기됐다. HMM은 본사 부산 이전 문제를 둘러싸고 노조가 최원혁 대표를 부당노동행위로 고소하는 등 내부 갈등이 고조되고 있다.</w:t>
      </w:r>
    </w:p>
    <w:p>
      <w:pPr>
        <w:pStyle w:val="Heading3"/>
      </w:pPr>
      <w:r>
        <w:t>기타 산업  (HIGH 29 / MEDIUM 89)</w:t>
      </w:r>
    </w:p>
    <w:p>
      <w:r>
        <w:rPr>
          <w:b/>
        </w:rPr>
        <w:t>🌐 해외 상황</w:t>
      </w:r>
    </w:p>
    <w:p>
      <w:r>
        <w:t>이란이 사우디아라비아 주바일 석유화학 단지(사우디 GDP의 7% 기여)를 공격해 화재가 발생했으며, 이스라엘은 이란 시라즈 석유화학 시설을 타격했다. 이란혁명수비대는 수년간 중동 지역 석유·가스 공급을 차단하겠다고 위협했으며, IEA는 현재 에너지 위기가 역사상 전례 없는 수준이라고 평가했다. 비료 가격이 급등하며 식품 비용 상승으로 이어질 수 있다는 경고가 나왔다.</w:t>
      </w:r>
    </w:p>
    <w:p>
      <w:r>
        <w:rPr>
          <w:b/>
        </w:rPr>
        <w:t>🇰🇷 국내 영향</w:t>
      </w:r>
    </w:p>
    <w:p>
      <w:r>
        <w:t>나프타 공급 대란으로 국내 석유화학 공장 가동이 중단되고 물가 비상이 선포됐으며, 의료소모품(수액팩·주사기) 수급 위기도 확산되고 있다. 중동 전쟁발 농자재 대란으로 농민들이 버틸 수 없다는 호소가 나오고 있으며, 일본 화학기업들도 나프타 원료 제품 가격을 잇따라 인상하고 있다. HD현대중공업은 에틸렌 공급난으로 현장 불안이 고조되고 있으며, 크린토피아 등 나프타 의존 기업들의 수익성 방어도 어려워지고 있다.</w:t>
      </w:r>
    </w:p>
    <w:p>
      <w:r>
        <w:br w:type="page"/>
      </w:r>
    </w:p>
    <w:p>
      <w:pPr>
        <w:pStyle w:val="Heading2"/>
      </w:pPr>
      <w:r>
        <w:t>통계 요약</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rPr>
              <w:t>구분</w:t>
            </w:r>
          </w:p>
        </w:tc>
        <w:tc>
          <w:tcPr>
            <w:tcW w:type="dxa" w:w="2946"/>
          </w:tcPr>
          <w:p>
            <w:r>
              <w:rPr>
                <w:b/>
              </w:rPr>
              <w:t>건수</w:t>
            </w:r>
          </w:p>
        </w:tc>
        <w:tc>
          <w:tcPr>
            <w:tcW w:type="dxa" w:w="2946"/>
          </w:tcPr>
          <w:p>
            <w:r>
              <w:rPr>
                <w:b/>
              </w:rPr>
              <w:t>비중</w:t>
            </w:r>
          </w:p>
        </w:tc>
      </w:tr>
      <w:tr>
        <w:tc>
          <w:tcPr>
            <w:tcW w:type="dxa" w:w="2946"/>
          </w:tcPr>
          <w:p>
            <w:r>
              <w:t>총 수집</w:t>
            </w:r>
          </w:p>
        </w:tc>
        <w:tc>
          <w:tcPr>
            <w:tcW w:type="dxa" w:w="2946"/>
          </w:tcPr>
          <w:p>
            <w:r>
              <w:t>2978</w:t>
            </w:r>
          </w:p>
        </w:tc>
        <w:tc>
          <w:tcPr>
            <w:tcW w:type="dxa" w:w="2946"/>
          </w:tcPr>
          <w:p>
            <w:r>
              <w:t>100.0%</w:t>
            </w:r>
          </w:p>
        </w:tc>
      </w:tr>
      <w:tr>
        <w:tc>
          <w:tcPr>
            <w:tcW w:type="dxa" w:w="2946"/>
          </w:tcPr>
          <w:p>
            <w:r>
              <w:t>HIGH</w:t>
            </w:r>
          </w:p>
        </w:tc>
        <w:tc>
          <w:tcPr>
            <w:tcW w:type="dxa" w:w="2946"/>
          </w:tcPr>
          <w:p>
            <w:r>
              <w:t>233</w:t>
            </w:r>
          </w:p>
        </w:tc>
        <w:tc>
          <w:tcPr>
            <w:tcW w:type="dxa" w:w="2946"/>
          </w:tcPr>
          <w:p>
            <w:r>
              <w:t>7.8%</w:t>
            </w:r>
          </w:p>
        </w:tc>
      </w:tr>
      <w:tr>
        <w:tc>
          <w:tcPr>
            <w:tcW w:type="dxa" w:w="2946"/>
          </w:tcPr>
          <w:p>
            <w:r>
              <w:t>MEDIUM</w:t>
            </w:r>
          </w:p>
        </w:tc>
        <w:tc>
          <w:tcPr>
            <w:tcW w:type="dxa" w:w="2946"/>
          </w:tcPr>
          <w:p>
            <w:r>
              <w:t>478</w:t>
            </w:r>
          </w:p>
        </w:tc>
        <w:tc>
          <w:tcPr>
            <w:tcW w:type="dxa" w:w="2946"/>
          </w:tcPr>
          <w:p>
            <w:r>
              <w:t>16.1%</w:t>
            </w:r>
          </w:p>
        </w:tc>
      </w:tr>
      <w:tr>
        <w:tc>
          <w:tcPr>
            <w:tcW w:type="dxa" w:w="2946"/>
          </w:tcPr>
          <w:p>
            <w:r>
              <w:t>LOW</w:t>
            </w:r>
          </w:p>
        </w:tc>
        <w:tc>
          <w:tcPr>
            <w:tcW w:type="dxa" w:w="2946"/>
          </w:tcPr>
          <w:p>
            <w:r>
              <w:t>491</w:t>
            </w:r>
          </w:p>
        </w:tc>
        <w:tc>
          <w:tcPr>
            <w:tcW w:type="dxa" w:w="2946"/>
          </w:tcPr>
          <w:p>
            <w:r>
              <w:t>16.5%</w:t>
            </w:r>
          </w:p>
        </w:tc>
      </w:tr>
      <w:tr>
        <w:tc>
          <w:tcPr>
            <w:tcW w:type="dxa" w:w="2946"/>
          </w:tcPr>
          <w:p>
            <w:r>
              <w:t>NONE</w:t>
            </w:r>
          </w:p>
        </w:tc>
        <w:tc>
          <w:tcPr>
            <w:tcW w:type="dxa" w:w="2946"/>
          </w:tcPr>
          <w:p>
            <w:r>
              <w:t>1776</w:t>
            </w:r>
          </w:p>
        </w:tc>
        <w:tc>
          <w:tcPr>
            <w:tcW w:type="dxa" w:w="2946"/>
          </w:tcPr>
          <w:p>
            <w:r>
              <w:t>59.6%</w:t>
            </w:r>
          </w:p>
        </w:tc>
      </w:tr>
    </w:tbl>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