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2026-05-26</w:t>
      </w:r>
    </w:p>
    <w:p>
      <w:pPr>
        <w:jc w:val="center"/>
      </w:pPr>
      <w:r>
        <w:rPr>
          <w:color w:val="808080"/>
          <w:sz w:val="18"/>
        </w:rPr>
        <w:t>생성 모델: claude-sonnet-4-6  |  HIGH+MEDIUM 448건 (해외 288건 / 국내 160건)</w:t>
      </w:r>
    </w:p>
    <w:p/>
    <w:p>
      <w:pPr>
        <w:pStyle w:val="Heading2"/>
      </w:pPr>
      <w:r>
        <w:t>오늘의 핵심</w:t>
      </w:r>
    </w:p>
    <w:p>
      <w:r>
        <w:t>미국이 이란의 기뢰 부설 선박과 지대공 미사일 기지를 타격하는 '방어적 공습'을 단행하자[6][8][10], 이란은 이를 휴전 위반으로 규정하고 보복을 예고했으며[4][13] 오만 앞바다에서 유조선 외부 폭발 사고가 발생해 연료 일부가 유출됐다[21][25]. 브렌트유는 장중 99달러에 육박하며 급등했고[55][67], 국제유가는 배럴당 100달러 선을 재돌파했다[56][58]. 반면 미·이란 협상 기대감이 형성될 때는 유가가 7% 급락하는 등[72] 협상 진전과 군사 충돌 사이에서 유가가 극심한 변동성을 보이고 있다. 국내에서는 SCFI가 2,200을 돌파하고[37] KCCI가 전주 대비 5% 상승한 2,478p를 기록하는 등[35] 해운 운임이 급등세를 이어가고 있으며, 정부는 8월 원유 수급 위기에 대비해 비축유 방출을 최후 수단으로 유보하는 신중한 입장을 유지하고 있다[45][49].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70 / MEDIUM 209)</w:t>
      </w:r>
    </w:p>
    <w:p>
      <w:r>
        <w:rPr>
          <w:b/>
        </w:rPr>
        <w:t>🌐 해외 상황</w:t>
      </w:r>
    </w:p>
    <w:p>
      <w:r>
        <w:t>미국은 이란의 기뢰 부설 선박과 지대공 미사일 기지를 겨냥한 '방어적 공습'을 실시했으며[6][8][10], 이란은 이를 휴전 위반으로 규정하고 '어떠한 침략 행위도 묵과하지 않겠다'며 보복을 공식 예고했다[4][13]. 미국 CENTCOM은 호르무즈 해협 내 상선 호위 임무가 아직 재개되지 않았다고 밝혔고[2], 미·이란 양측이 협상 진전을 주장하는 가운데서도 호르무즈 인근에서 군사 충돌이 지속되는 이중적 상황이 전개되고 있다[7][8]. 이란은 미국 드론을 격추했다고 주장했으며[1][15], 마르코 루비오 미 국무장관은 호르무즈 상황에 대해 '용납할 수 없다'는 입장을 표명했다[9].</w:t>
      </w:r>
    </w:p>
    <w:p>
      <w:r>
        <w:rPr>
          <w:b/>
        </w:rPr>
        <w:t>🇰🇷 국내 영향</w:t>
      </w:r>
    </w:p>
    <w:p>
      <w:r>
        <w:t>영국 해사무역기구(UKMTO)는 오만 앞바다 유조선이 외부 폭발을 신고했다고 발표했으며[11][12][14], 이란은 미국의 공습에 대해 보복을 예고하고 드론 격추를 주장했다[15][16]. 호르무즈 해협 개방 문제는 협상에서 여전히 평행선을 달리고 있으며, MOU 체결 이후 60일간의 추가 협상이 변수로 작용하고 있다[20]. 이란이 호르무즈 해협 통과에 대해 '통행료'가 아닌 '서비스 요금'이라고 주장하는 상황도 지속되고 있다[34].</w:t>
      </w:r>
    </w:p>
    <w:p>
      <w:pPr>
        <w:pStyle w:val="Heading3"/>
      </w:pPr>
      <w:r>
        <w:t>해양안전  (HIGH 8 / MEDIUM 2)</w:t>
      </w:r>
    </w:p>
    <w:p>
      <w:r>
        <w:rPr>
          <w:b/>
        </w:rPr>
        <w:t>🌐 해외 상황</w:t>
      </w:r>
    </w:p>
    <w:p>
      <w:r>
        <w:t>UKMTO는 오만 앞바다에서 유조선이 외부 폭발을 신고했으며 선원은 안전하다고 밝혔고[21][22][23], 연료 일부가 유출된 것으로 확인됐다[24]. UKMTO는 인근 항행 선박에 주의를 당부했다[23].</w:t>
      </w:r>
    </w:p>
    <w:p>
      <w:r>
        <w:rPr>
          <w:b/>
        </w:rPr>
        <w:t>🇰🇷 국내 영향</w:t>
      </w:r>
    </w:p>
    <w:p>
      <w:r>
        <w:t>국내 언론도 오만 앞바다 유조선 외부 폭발 및 연료 유출 사실을 일제히 보도했으며[25][26][27][28][29], 선원과 선박은 안전한 것으로 전해졌다[26]. 한편 국내에서는 가스운반선 국제규정 개정서에 국내 기술력이 반영됐다는 별도의 성과도 보고됐다[30].</w:t>
      </w:r>
    </w:p>
    <w:p>
      <w:pPr>
        <w:pStyle w:val="Heading3"/>
      </w:pPr>
      <w:r>
        <w:t>운임·물류비  (HIGH 6 / MEDIUM 3)</w:t>
      </w:r>
    </w:p>
    <w:p>
      <w:r>
        <w:rPr>
          <w:b/>
        </w:rPr>
        <w:t>🌐 해외 상황</w:t>
      </w:r>
    </w:p>
    <w:p>
      <w:r>
        <w:t>파이퍼 샌들러는 호르무즈 해협이 수개월간 봉쇄 상태를 유지하고 유가가 신고점을 기록할 것이라고 전망했으며[31], 이란은 호르무즈 해협 통과에 대해 통행료가 아닌 서비스 요금을 부과하고 있다고 주장했다[32]. 걸프 해운 위기가 새로운 유라시아 물류 회랑 개발을 촉진하고 있다는 분석도 제기됐다[33].</w:t>
      </w:r>
    </w:p>
    <w:p>
      <w:r>
        <w:rPr>
          <w:b/>
        </w:rPr>
        <w:t>🇰🇷 국내 영향</w:t>
      </w:r>
    </w:p>
    <w:p>
      <w:r>
        <w:t>SCFI가 2,200을 돌파하며 해운 운임이 급등했고[37], KCCI는 전주 대비 5% 상승한 2,478p를 기록했다[35]. 호르무즈를 통과하는 원유 물동량이 2배 증가했으나 국제유가는 숨고르기 양상을 보이고 있으며[36], 항공유 부담이 완화되는 사이 해운 운임이 폭등하는 상황이 전개되고 있다[37]. 내항화물선사에 대한 유류세 보조금 지원 정책도 시행되고 있다[38]. 한화오션의 상선 수익률이 기대치를 넘어섰으며 탱커 부문은 두 자릿수 초반의 수익률을 기록한 것으로 보인다[39].</w:t>
      </w:r>
    </w:p>
    <w:p>
      <w:pPr>
        <w:pStyle w:val="Heading3"/>
      </w:pPr>
      <w:r>
        <w:t>항만·화물  (HIGH 6 / MEDIUM 10)</w:t>
      </w:r>
    </w:p>
    <w:p>
      <w:r>
        <w:rPr>
          <w:b/>
        </w:rPr>
        <w:t>🌐 해외 상황</w:t>
      </w:r>
    </w:p>
    <w:p>
      <w:r>
        <w:t>한국 정부가 8월 원유 공급 위기 가능성에 대비해 비축유 방출 시점을 검토 중인 것으로 해외 언론에 보도됐다[40]. 카타르에너지는 불가항력(포스 마쥬르) 선언을 8월 중순까지 연장했으며[41][42], 이탈리아 에디슨은 대체 공급원으로 미국산 LNG를 검토하고 있다[42]. 인도 정부는 원유 및 비료 조달 체계가 갖춰져 있다고 밝혔으며[43], 인도는 78일치 석유 공급량을 확보하고 있다고 발표했다[44].</w:t>
      </w:r>
    </w:p>
    <w:p>
      <w:r>
        <w:rPr>
          <w:b/>
        </w:rPr>
        <w:t>🇰🇷 국내 영향</w:t>
      </w:r>
    </w:p>
    <w:p>
      <w:r>
        <w:t>정부는 8월 원유 수급 위기설에 대해 비축유 방출 대신 스왑 및 민간 물량 조절로 대응하는 신중한 입장을 유지하고 있으며[45][49][50], 비축유 방출은 최후 수단으로 남겨두고 있다[46][47]. 비중동산 원유 도입 비중이 사상 처음으로 50%를 돌파했다[48]. 여수광양항만공사는 호르무즈 사태 속 중동 수출입 물류 공급망 지원을 강화하고 있으며[52], 울산 수출 화물의 부산항 이탈률이 72.5%에 달하는 것으로 나타났다[53][54]. 태풍을 앞두고 인천항에서는 장기 계류 선박에 대한 비상 대응이 이루어지고 있다[51].</w:t>
      </w:r>
    </w:p>
    <w:p>
      <w:pPr>
        <w:pStyle w:val="Heading3"/>
      </w:pPr>
      <w:r>
        <w:t>경제·금융  (HIGH 15 / MEDIUM 78)</w:t>
      </w:r>
    </w:p>
    <w:p>
      <w:r>
        <w:rPr>
          <w:b/>
        </w:rPr>
        <w:t>🌐 해외 상황</w:t>
      </w:r>
    </w:p>
    <w:p>
      <w:r>
        <w:t>미국의 이란 공습 이후 브렌트유가 4% 급등했고[55], 국제유가는 배럴당 100달러를 재돌파했다[56][58]. WTI는 미국의 추가 공습에도 불구하고 5% 이상 하락하는 등[62] 유가는 협상 기대와 군사 충돌 사이에서 극심한 변동성을 보이고 있다[59][60][64]. 호르무즈 긴장이 미국과 유로존에서 임금 상승률을 웃도는 물가 상승을 유발하고 있다는 분석도 제기됐다[70].</w:t>
      </w:r>
    </w:p>
    <w:p>
      <w:r>
        <w:rPr>
          <w:b/>
        </w:rPr>
        <w:t>🇰🇷 국내 영향</w:t>
      </w:r>
    </w:p>
    <w:p>
      <w:r>
        <w:t>코스피는 미·이란 협상 기대감에 8,000선을 돌파하며 신고점을 기록했고[65], 8,100선도 넘어섰다[66]. 브렌트유는 이란 보복 예고에 장중 99달러에 육박했으며[67][68], 협상 기대감이 형성될 때는 국제유가가 7% 급락하기도 했다[72]. IEA 비축유 방출 기한이 임박한 가운데 정부는 8월 위기설에 대해 신중한 입장을 유지하고 있다[69]. 종전 기대감에 원·달러 환율이 급락했으나 1,500원 아래 안착 여부는 불확실하다는 시각도 있으며[73], 중동 긴장 완화와 월말 네고 물량으로 환율이 12.90원 하락했다[74].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🌐 해외 상황</w:t>
      </w:r>
    </w:p>
    <w:p>
      <w:r>
        <w:t>미국 걸프 지역 새우잡이 어선들이 연료비 급등으로 의회에 지원을 요청하고 있다[75].</w:t>
      </w:r>
    </w:p>
    <w:p>
      <w:pPr>
        <w:pStyle w:val="Heading3"/>
      </w:pPr>
      <w:r>
        <w:t>해운  (HIGH 3 / MEDIUM 15)</w:t>
      </w:r>
    </w:p>
    <w:p>
      <w:r>
        <w:rPr>
          <w:b/>
        </w:rPr>
        <w:t>🌐 해외 상황</w:t>
      </w:r>
    </w:p>
    <w:p>
      <w:r>
        <w:t>미 해군이 호르무즈 해협을 통과하는 상선을 조용히 호위하며 핵심 항로 안전을 확보하고 있으며[76], 일본은 호르무즈 해협을 통한 첫 원유 수입 선적을 완료했다[77].</w:t>
      </w:r>
    </w:p>
    <w:p>
      <w:r>
        <w:rPr>
          <w:b/>
        </w:rPr>
        <w:t>🇰🇷 국내 영향</w:t>
      </w:r>
    </w:p>
    <w:p>
      <w:r>
        <w:t>금융위원회는 중동 리스크에 대응해 해운업계의 경영 애로 해소를 지원하는 정책을 추진하고 있다[78]. 봉쇄를 뚫고 운항한 스위스 유조선이 6,000만 달러의 수익을 올린 것으로 보도됐다[79]. HMM 본사 주소는 일단 부산 초량으로 유지되며[80], 해수부는 HMM 이전 등을 포함한 '남부 해양수도권' 청사진을 발표하고 북극항로 시대에 대비한 전략을 공개했다[83][86]. 부산대는 HMM·로이드선급과 액화수소 선박 표준화 협력을 추진하고 있으며[81][84][87], 국적 선사들은 지난해 매출 50조 원 수준을 유지했으나 운임 하락으로 수익성이 악화된 것으로 나타났다[85].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고유가 고착화로 물류 플랫폼 업계의 수익성에 비상이 걸렸으며, 물류 효율화로 버티는 전략이 부각되고 있다[88].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🇰🇷 국내 영향</w:t>
      </w:r>
    </w:p>
    <w:p>
      <w:r>
        <w:t>중국 난사항이 5기 공정에 착공하며 연간 처리 능력을 3,500만 TEU로 확대할 계획이다[89].</w:t>
      </w:r>
    </w:p>
    <w:p>
      <w:pPr>
        <w:pStyle w:val="Heading3"/>
      </w:pPr>
      <w:r>
        <w:t>기타 산업  (HIGH 4 / MEDIUM 16)</w:t>
      </w:r>
    </w:p>
    <w:p>
      <w:r>
        <w:rPr>
          <w:b/>
        </w:rPr>
        <w:t>🌐 해외 상황</w:t>
      </w:r>
    </w:p>
    <w:p>
      <w:r>
        <w:t>카타르에너지는 LNG 불가항력 선언을 8월 중순까지 연장했으며[91], 이란 테헤란 정유소 화재로 인한 이산화황(SO₂) 배출량이 연구팀에 의해 정량화됐다[92]. 이란 분쟁의 비료 시장 파급 효과가 분석되고 있으며[94], 인도와 일본은 에너지 공급 교란 해소를 위한 협력 방안을 논의했다[96].</w:t>
      </w:r>
    </w:p>
    <w:p>
      <w:r>
        <w:rPr>
          <w:b/>
        </w:rPr>
        <w:t>🇰🇷 국내 영향</w:t>
      </w:r>
    </w:p>
    <w:p>
      <w:r>
        <w:t>아시아 석유 재고 감소가 미국·유럽으로 확산될 것이라는 우려가 제기되고 있다[97]. 에쓰오일은 영업이익 1조 원을 달성했으나 체질 개선 과제가 남아 있으며[99], 관세청 특례 적용으로 정유·석화 업계가 한 항차에 38억 원 이상을 절감한 것으로 나타났다[100]. 중동발 사료값 쇼크로 축산 농가가 어려움을 겪고 있으며[106], 고려아연은 한국·미국·호주를 잇는 핵심광물 삼각 공급망 구축을 가속화하고 있다[101].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112</w:t>
            </w:r>
          </w:p>
        </w:tc>
        <w:tc>
          <w:tcPr>
            <w:tcW w:type="dxa" w:w="2946"/>
          </w:tcPr>
          <w:p>
            <w:r>
              <w:t>3.8%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336</w:t>
            </w:r>
          </w:p>
        </w:tc>
        <w:tc>
          <w:tcPr>
            <w:tcW w:type="dxa" w:w="2946"/>
          </w:tcPr>
          <w:p>
            <w:r>
              <w:t>11.3%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405</w:t>
            </w:r>
          </w:p>
        </w:tc>
        <w:tc>
          <w:tcPr>
            <w:tcW w:type="dxa" w:w="2946"/>
          </w:tcPr>
          <w:p>
            <w:r>
              <w:t>13.6%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2124</w:t>
            </w:r>
          </w:p>
        </w:tc>
        <w:tc>
          <w:tcPr>
            <w:tcW w:type="dxa" w:w="2946"/>
          </w:tcPr>
          <w:p>
            <w:r>
              <w:t>71.3%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