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2026-07-02</w:t>
      </w:r>
    </w:p>
    <w:p>
      <w:pPr>
        <w:jc w:val="center"/>
      </w:pPr>
      <w:r>
        <w:rPr>
          <w:color w:val="808080"/>
          <w:sz w:val="18"/>
        </w:rPr>
        <w:t>생성 모델: claude-sonnet-4-6  |  HIGH+MEDIUM 209건 (해외 0건 / 국내 209건)</w:t>
      </w:r>
    </w:p>
    <w:p/>
    <w:p>
      <w:pPr>
        <w:pStyle w:val="Heading2"/>
      </w:pPr>
      <w:r>
        <w:t>오늘의 핵심</w:t>
      </w:r>
    </w:p>
    <w:p>
      <w:r>
        <w:t>이란군이 호르무즈 해협 지정 항로를 이탈하는 모든 상선에 군사적 대응을 경고하며 긴장이 고조되고 있으며[1][2][3][4][5][6][7][8], 오만까지 통항료 압박에 가세하는 등 '호르무즈 유료화' 변수가 정유·해운업계를 압박하고 있다[9][13][15]. 산업연구원은 호르무즈 봉쇄로 한국 제조업 생산비가 4.7% 상승했으며 산업별 회복이 K자 양극화 형태로 상당 기간 지속될 것이라고 분석했다[10][30][31][32][33]. 6월 소비자물가는 전년 대비 3.2% 상승해 2년 반 만에 최대 상승폭을 기록했으며, 석유류 가격은 24.7% 급등해 배달업 종사자 등 서민 생활에 직접 타격을 주고 있다[34][36][37][38]. 한편 호르무즈 재개방 합의 이후 원유 수송량이 전주 대비 1,218% 급증하고[42] UAE 원유 수출이 전쟁 이전 수준을 회복하는 등[21][22][23][24][44] 물동량 회복 신호도 나타나고 있으나, 카타르 LNG 공급 차질은 장기화되며 시장 불안이 지속되고 있다[20]. 컨테이너 운임지수는 3,200선을 돌파했으며[16], 삼성중공업은 원유운반선 2척을 2,734억 원에 수주해 상선 수주 목표의 95%를 달성했다[45][46][47][48][49].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 / MEDIUM 27)</w:t>
      </w:r>
    </w:p>
    <w:p>
      <w:r>
        <w:rPr>
          <w:b/>
        </w:rPr>
        <w:t>🇰🇷 국내 영향</w:t>
      </w:r>
    </w:p>
    <w:p>
      <w:r>
        <w:t>이란군은 호르무즈 해협 지정 항로를 벗어나는 모든 상선에 군사적 대응을 경고하며 강력한 위협 메시지를 반복 발신하고 있다[1][2][3][4][5][6][7][8]. 이란은 지정 항로 이탈 선박의 안전을 보장할 수 없다고 명시적으로 경고했으며[8], 미국과 중동 12개국이 이에 대응해 결집하는 양상이 보도됐다[1]. 오만까지 통항료 압박에 가세하면서 호르무즈 '유료화' 압박이 정유·해운업계의 초긴장 상태를 유발하고 있다[9][13].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아라비아해에서 시호크 헬기가 비상 착수하는 사고가 한 달도 안 되어 재발했다[11]. IACS 규정이 선박 보안을 설계 단계부터 반영할 것을 요구하면서 조선소의 공급망 보안 관리가 핵심 과제로 부상하고 있다[12].</w:t>
      </w:r>
    </w:p>
    <w:p>
      <w:pPr>
        <w:pStyle w:val="Heading3"/>
      </w:pPr>
      <w:r>
        <w:t>운임·물류비  (HIGH 3 / MEDIUM 4)</w:t>
      </w:r>
    </w:p>
    <w:p>
      <w:r>
        <w:rPr>
          <w:b/>
        </w:rPr>
        <w:t>🇰🇷 국내 영향</w:t>
      </w:r>
    </w:p>
    <w:p>
      <w:r>
        <w:t>호르무즈 해협 통항량이 30~40건대로 감소하며 미·이란 충돌 여파가 물동량에 직접 반영되고 있다[14]. 컨테이너 운임지수는 3,200선을 돌파했으며 미국·유럽 노선이 상승을 주도했다[16]. 호르무즈 통항료 변수와 강달러가 겹치면서 정유업계는 원가 방어에 비상이 걸렸다[15]. 8월 유류할증료는 중동 전쟁 이전 수준으로 돌아갈 전망이며[17], 미국 관세 변화로 하반기 해상운임 추가 상승이 전망된다[19]. 철광석·곡물 수요 회복으로 팬오션의 이익 체력이 재평가되는 분위기도 나타나고 있다[18].</w:t>
      </w:r>
    </w:p>
    <w:p>
      <w:pPr>
        <w:pStyle w:val="Heading3"/>
      </w:pPr>
      <w:r>
        <w:t>항만·화물  (HIGH 6 / MEDIUM 9)</w:t>
      </w:r>
    </w:p>
    <w:p>
      <w:r>
        <w:rPr>
          <w:b/>
        </w:rPr>
        <w:t>🇰🇷 국내 영향</w:t>
      </w:r>
    </w:p>
    <w:p>
      <w:r>
        <w:t>호르무즈 재개방 이후에도 카타르 LNG 공급 차질이 장기화되며 시장 불안이 지속되고 있다[20]. UAE는 OPEC 탈퇴 후 지난달 원유 수출이 사상 최고치를 기록하며 전쟁 이전 수준을 회복했다[21][22][23][24][27]. 사우디 원유 수출도 예전 수준에 근접하며 호르무즈 물동량 회복 신호가 나타나고 있다[26]. 반면 이란산 원유는 8월 21일까지 판매 기한이 있음에도 재고가 쌓이는 상황이 보도됐다[25]. 부산항만공사(BPA)는 환적운송시스템 집중운영기간을 시행하며 인센티브 4억 원을 지급하고 전 부두 시스템화를 추진한다[28][29].</w:t>
      </w:r>
    </w:p>
    <w:p>
      <w:pPr>
        <w:pStyle w:val="Heading3"/>
      </w:pPr>
      <w:r>
        <w:t>경제·금융  (HIGH 4 / MEDIUM 81)</w:t>
      </w:r>
    </w:p>
    <w:p>
      <w:r>
        <w:rPr>
          <w:b/>
        </w:rPr>
        <w:t>🇰🇷 국내 영향</w:t>
      </w:r>
    </w:p>
    <w:p>
      <w:r>
        <w:t>산업연구원은 호르무즈 봉쇄로 한국 제조업 생산비가 4.7% 상승했다고 분석했으며[10][30][31][32], 중동 전쟁이 끝나더라도 산업별 회복이 K자 양극화 형태로 상당 기간 지속될 것이라고 전망했다[33]. 6월 소비자물가는 전년 대비 3.2% 상승해 2년 반 만에 최대 상승폭을 기록했고[36], 석유류 가격은 24.7% 급등했다[34]. 충청권과 전북 등 지역별로도 소비자물가가 3%대 이상 상승하며 기름값·항공료·밥상물가가 동반 상승하는 양상이다[35][38][39]. 배달업 종사자 등 서민층이 기름값 급등으로 직접적인 생계 타격을 받고 있다는 보도도 나왔다[37].</w:t>
      </w:r>
    </w:p>
    <w:p>
      <w:pPr>
        <w:pStyle w:val="Heading3"/>
      </w:pPr>
      <w:r>
        <w:t>해운  (HIGH 5 / MEDIUM 14)</w:t>
      </w:r>
    </w:p>
    <w:p>
      <w:r>
        <w:rPr>
          <w:b/>
        </w:rPr>
        <w:t>🇰🇷 국내 영향</w:t>
      </w:r>
    </w:p>
    <w:p>
      <w:r>
        <w:t>호르무즈 봉쇄 후 11번째 한국 유조선이 홍해를 통과했다[40][41]. 호르무즈 해협 재개방 합의 이후 원유 수송량이 전주 대비 1,218% 급증했으며[42], 초대형 유조선 5척이 사우디 원유를 싣고 호르무즈 해협을 통과했다[43]. UAE 원유 수출도 전쟁 이전 수준을 회복하며 해협 물동량 정상화 흐름이 나타나고 있다[44]. 삼성중공업은 오세아니아 선사로부터 원유운반선 2척을 2,734억 원에 수주해 상선 수주 목표의 95%를 달성했다[45][46][47][48][49].</w:t>
      </w:r>
    </w:p>
    <w:p>
      <w:pPr>
        <w:pStyle w:val="Heading3"/>
      </w:pPr>
      <w:r>
        <w:t>물류  (HIGH 1 / MEDIUM 1)</w:t>
      </w:r>
    </w:p>
    <w:p>
      <w:r>
        <w:rPr>
          <w:b/>
        </w:rPr>
        <w:t>🇰🇷 국내 영향</w:t>
      </w:r>
    </w:p>
    <w:p>
      <w:r>
        <w:t>삼성·LG 등 가전업체들이 중동발 물류비 부담으로 하반기 수익성 압박을 받고 있다[50]. 한 물류 기업은 2030년까지 미래물류에 9조 원을 투자하는 계획을 밝혔다[51].</w:t>
      </w:r>
    </w:p>
    <w:p>
      <w:pPr>
        <w:pStyle w:val="Heading3"/>
      </w:pPr>
      <w:r>
        <w:t>기타 산업  (HIGH 1 / MEDIUM 39)</w:t>
      </w:r>
    </w:p>
    <w:p>
      <w:r>
        <w:rPr>
          <w:b/>
        </w:rPr>
        <w:t>🇰🇷 국내 영향</w:t>
      </w:r>
    </w:p>
    <w:p>
      <w:r>
        <w:t>상업가동을 앞둔 초대형 샤힌 프로젝트가 석유화학업계의 긴장을 유발하고 있으며[52], LG화학과 GS칼텍스는 여수 2공장 통합을 중심으로 석화 구조개편을 추진하는 것으로 보도됐다[53]. 주요 석유화학 업체들이 제품 판매 가격을 잇달아 인하하며 긴 터널의 끝이 보이는 분위기도 감지된다[55]. LNG 위기경보가 해제됐음에도 발전용 가스요금은 4개월째 상승세를 이어가고 있으며[57], 글로벌 LNG 시장은 단기 공급 차질과 장기 공급 과잉이 공존하는 구조로 평가된다[56]. 포스코그룹 장인화 회장은 자원 중심 사업 재편을 선언하며 리튬·에너지로 성장 축을 이동하는 '트리플 코어' 전략을 발표했다[59][60][61].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1476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32</w:t>
            </w:r>
          </w:p>
        </w:tc>
        <w:tc>
          <w:tcPr>
            <w:tcW w:type="dxa" w:w="2946"/>
          </w:tcPr>
          <w:p>
            <w:r>
              <w:t>2.2%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177</w:t>
            </w:r>
          </w:p>
        </w:tc>
        <w:tc>
          <w:tcPr>
            <w:tcW w:type="dxa" w:w="2946"/>
          </w:tcPr>
          <w:p>
            <w:r>
              <w:t>12.0%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287</w:t>
            </w:r>
          </w:p>
        </w:tc>
        <w:tc>
          <w:tcPr>
            <w:tcW w:type="dxa" w:w="2946"/>
          </w:tcPr>
          <w:p>
            <w:r>
              <w:t>19.4%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980</w:t>
            </w:r>
          </w:p>
        </w:tc>
        <w:tc>
          <w:tcPr>
            <w:tcW w:type="dxa" w:w="2946"/>
          </w:tcPr>
          <w:p>
            <w:r>
              <w:t>66.4%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