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2026-07-08</w:t>
      </w:r>
    </w:p>
    <w:p>
      <w:pPr>
        <w:jc w:val="center"/>
      </w:pPr>
      <w:r>
        <w:rPr>
          <w:color w:val="808080"/>
          <w:sz w:val="18"/>
        </w:rPr>
        <w:t>생성 모델: claude-sonnet-4-6  |  HIGH+MEDIUM 513건 (해외 323건 / 국내 190건)</w:t>
      </w:r>
    </w:p>
    <w:p/>
    <w:p>
      <w:pPr>
        <w:pStyle w:val="Heading2"/>
      </w:pPr>
      <w:r>
        <w:t>오늘의 핵심</w:t>
      </w:r>
    </w:p>
    <w:p>
      <w:r>
        <w:t>트럼프 대통령이 이란과의 종전 MOU가 끝난 것 같다고 선언하며 당일 밤 재공격 가능성을 시사하고 호르무즈 해상봉쇄 재개 가능성도 언급함에 따라[12][16][17], 미·이란 갈등이 전쟁 국면으로 재진입하는 양상이다. 이란은 바레인·쿠웨이트를 타격하고 호르무즈 인근 유조선 3척을 공격했으며[11][43], CNN은 8일 호르무즈 해협 유조선 통과가 사실상 중단됐다고 보도했다[32]. 국제유가는 브렌트유 기준 5~6% 급등하며 시장에 충격을 줬고[41][51][52], 뉴욕증시는 다우 1% 이상 하락 출발했다[31]. IMF는 이란 전쟁 여파로 세계 성장률 전망을 3.0%로 0.1%p 추가 하향 조정했으며[56], 한국 정부와 경북도는 수출기업 물류비·보험료 지원을 긴급 확대하는 등 대응에 나섰다[80][81]. 삼성중공업은 원유운반선 2척을 수주하며 연간 수주 100억 달러를 돌파했고[72][76], 미국은 한국 조선사에 해군 함정 건조를 타진하는 것으로 알려졌다[68].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199 / MEDIUM 83)</w:t>
      </w:r>
    </w:p>
    <w:p>
      <w:r>
        <w:rPr>
          <w:b/>
        </w:rPr>
        <w:t>🌐 해외 상황</w:t>
      </w:r>
    </w:p>
    <w:p>
      <w:r>
        <w:t>트럼프 대통령은 이란과의 종전 MOU가 끝난 것 같다고 선언하며 당일 밤 재공격 가능성을 공개 언급했고[6][9], 호르무즈 해상봉쇄 재개 가능성도 시사했다[1][8]. 이란은 미국의 공습에 맞불 공격으로 바레인·쿠웨이트를 타격했으며[11][15], 호르무즈 인근 유조선 3척을 공격해 미국의 보복을 촉발했다[43]. 이란 측은 호르무즈 봉쇄 및 미국 타격 목표물을 두 배로 늘리겠다고 위협했고[8], 카타르 LNG 탱커 'Al Rekayyat'호가 발사체에 피격돼 좌초 상태에 놓였다[4][7]. 인도는 미국의 추가 이란 공습 위협에 자제를 촉구했으며[5], 선박 소유주들은 호르무즈 리스크 대응에 고심하고 있다[10].</w:t>
      </w:r>
    </w:p>
    <w:p>
      <w:r>
        <w:rPr>
          <w:b/>
        </w:rPr>
        <w:t>🇰🇷 국내 영향</w:t>
      </w:r>
    </w:p>
    <w:p>
      <w:r>
        <w:t>국내 언론은 트럼프의 이란 재공격 발언과 호르무즈 봉쇄 재개 시사를 일제히 속보로 보도했다[12][13][14][18][19]. 미·이란이 다시 전쟁 국면에 진입했다는 분석이 국내 언론에서 제기됐으며[17], 이란의 맞불 공격으로 호르무즈가 다시 살얼음판 상황이라는 평가가 나왔다[15]. 한국은 중동산 원유 의존도가 높아 호르무즈 봉쇄 재개 시 에너지 수급에 직접적 영향을 받을 가능성이 있다[16][19].</w:t>
      </w:r>
    </w:p>
    <w:p>
      <w:pPr>
        <w:pStyle w:val="Heading3"/>
      </w:pPr>
      <w:r>
        <w:t>해양안전  (HIGH 2 / MEDIUM 5)</w:t>
      </w:r>
    </w:p>
    <w:p>
      <w:r>
        <w:rPr>
          <w:b/>
        </w:rPr>
        <w:t>🌐 해외 상황</w:t>
      </w:r>
    </w:p>
    <w:p>
      <w:r>
        <w:t>사우디 해운사 Bahri는 자사 선박 Wedyan호가 호르무즈 해협 인근에서 사고를 당했으나 전 승무원이 안전하다고 확인했다[21]. 이란의 해상 항로 경고를 무시한 유조선이 호르무즈 인근에서 피격됐다는 보도가 나왔다[22]. 파키스탄 인근 해상에서 화물기가 실종됐으며 당국이 수색에 나섰고[23][27], 아라비아해 상공에서 737 화물기가 사라졌다는 보도도 이어졌다[26]. 이후 파키스탄 해안에서 잔해가 발견됐다[24].</w:t>
      </w:r>
    </w:p>
    <w:p>
      <w:pPr>
        <w:pStyle w:val="Heading3"/>
      </w:pPr>
      <w:r>
        <w:t>운임·물류비  (HIGH 3 / MEDIUM 4)</w:t>
      </w:r>
    </w:p>
    <w:p>
      <w:r>
        <w:rPr>
          <w:b/>
        </w:rPr>
        <w:t>🌐 해외 상황</w:t>
      </w:r>
    </w:p>
    <w:p>
      <w:r>
        <w:t>호르무즈 해협 선박 통항이 재차 압박을 받고 있으며[28], CNN은 8일 유조선 통과가 사실상 중단됐다고 보도했다[32]. 카타이퍼시픽은 항공유 가격 완화를 이유로 유류할증료를 재차 인하했다[30]. 파키스탄에서는 높아진 해상 운송비로 망고 수출 가격이 오만 시장에서 상승했다[29].</w:t>
      </w:r>
    </w:p>
    <w:p>
      <w:r>
        <w:rPr>
          <w:b/>
        </w:rPr>
        <w:t>🇰🇷 국내 영향</w:t>
      </w:r>
    </w:p>
    <w:p>
      <w:r>
        <w:t>호르무즈 해협 긴장 재개 소식에 뉴욕증시가 일제히 하락 출발하며 다우지수가 1% 이상 떨어졌다[31]. 유류할증료·환율 급등이 겹친 2분기에 김해공항 국제선 이용객이 감소한 것으로 보도됐다[33]. 벌크선 시장에서는 BDI가 2,875포인트를 기록하며 중대형선 중심의 회복세가 나타났다[34].</w:t>
      </w:r>
    </w:p>
    <w:p>
      <w:pPr>
        <w:pStyle w:val="Heading3"/>
      </w:pPr>
      <w:r>
        <w:t>항만·화물  (HIGH 0 / MEDIUM 2)</w:t>
      </w:r>
    </w:p>
    <w:p>
      <w:r>
        <w:rPr>
          <w:b/>
        </w:rPr>
        <w:t>🌐 해외 상황</w:t>
      </w:r>
    </w:p>
    <w:p>
      <w:r>
        <w:t>카자흐스탄과 이란은 이란 샤히드 라자이 항구에 물류 터미널을 건설하는 협정을 체결했다[35].</w:t>
      </w:r>
    </w:p>
    <w:p>
      <w:r>
        <w:rPr>
          <w:b/>
        </w:rPr>
        <w:t>🇰🇷 국내 영향</w:t>
      </w:r>
    </w:p>
    <w:p>
      <w:r>
        <w:t>한국과 UAE는 원유·가스 저장·운송 인프라 분야 협력을 확대하기로 했다[36].</w:t>
      </w:r>
    </w:p>
    <w:p>
      <w:pPr>
        <w:pStyle w:val="Heading3"/>
      </w:pPr>
      <w:r>
        <w:t>경제·금융  (HIGH 41 / MEDIUM 108)</w:t>
      </w:r>
    </w:p>
    <w:p>
      <w:r>
        <w:rPr>
          <w:b/>
        </w:rPr>
        <w:t>🌐 해외 상황</w:t>
      </w:r>
    </w:p>
    <w:p>
      <w:r>
        <w:t>트럼프의 이란 종전 MOU 종료 선언 이후 국제유가가 급등했으며, 브렌트유 선물은 5~6% 이상 상승했다[37][40][41][46]. 이란군의 호르무즈 인근 유조선 3척 공격 이후 원유 가격이 기록적 수준으로 올랐다는 보도도 나왔다[42][43]. 글로벌 주식시장은 하락하고 유가는 급등하는 동반 충격이 발생했다[44][45]. IMF는 이란 전쟁 여파로 세계 성장률 전망을 3.0%로 0.1%p 추가 하향 조정했다[56].</w:t>
      </w:r>
    </w:p>
    <w:p>
      <w:r>
        <w:rPr>
          <w:b/>
        </w:rPr>
        <w:t>🇰🇷 국내 영향</w:t>
      </w:r>
    </w:p>
    <w:p>
      <w:r>
        <w:t>국내 언론은 트럼프의 이란 재공격 발언 이후 국제유가가 6% 급등했다고 일제히 보도했다[48][49][50][52][53]. 브렌트유는 호르무즈 해협 선박 피격 소식에 3.01% 상승하기도 했다[54]. 한국의 5월 경상수지 흑자는 386억1천만 달러로 역대 최고치를 기록했다[47]. 유가 급등이 지속될 경우 국내 기름값 하락 기대가 꺾일 수 있다는 우려가 제기됐다[55].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이재명 대통령은 노르웨이와의 정상회담에서 고등어 수입 물량 추가 확보를 당부했다[57].</w:t>
      </w:r>
    </w:p>
    <w:p>
      <w:pPr>
        <w:pStyle w:val="Heading3"/>
      </w:pPr>
      <w:r>
        <w:t>해운  (HIGH 11 / MEDIUM 23)</w:t>
      </w:r>
    </w:p>
    <w:p>
      <w:r>
        <w:rPr>
          <w:b/>
        </w:rPr>
        <w:t>🌐 해외 상황</w:t>
      </w:r>
    </w:p>
    <w:p>
      <w:r>
        <w:t>호르무즈 해협 인근에서 유조선 최소 4척이 회항했으며[58][59], 인도 해군은 15명의 인도 선원이 탑승한 원유 탱커 Omega Trader호의 안전 통항을 확보했다[60][66]. 인도 선박 9척과 선원 190명 이상이 여전히 호르무즈 인근에 머물고 있다[61]. 인도 MRPL은 서아시아 선박 용선 계약을 취소한 것으로 알려졌다[63]. 중국은 정유사들의 해외 출하 확대에 따라 연료 수출 제한을 해제했다[64]. CMA CGM은 2026년 상반기 가장 빠르게 성장한 컨테이너 선사로 부상했다[65].</w:t>
      </w:r>
    </w:p>
    <w:p>
      <w:r>
        <w:rPr>
          <w:b/>
        </w:rPr>
        <w:t>🇰🇷 국내 영향</w:t>
      </w:r>
    </w:p>
    <w:p>
      <w:r>
        <w:t>미국이 한국 조선사에 해군 함정 건조를 타진하고 있다는 보도가 나왔다[68]. 호르무즈 충돌 속에 유조선 등 최소 4척이 회항했으며[69], 국내 정유·해운업계는 원유 국적선사 운송 비중을 늘리는 방안을 협의 중인 것으로 알려졌다[70]. 삼성중공업은 원유운반선 2척(2,849억 원 규모)을 수주하며 연간 수주 실적이 5년 만에 100억 달러를 돌파했다[72][76][77]. HMM은 벌크선 분야에서도 초장기 계약을 추진하며 체질 개선에 속도를 내고 있으며[71], 한국 선박 12번째가 홍해 우회로를 통해 원유를 운송했다[73]. 해진공은 홍해 사태 장기화로 컨테이너 시장 구조가 재편되고 있다고 분석했다[74][75].</w:t>
      </w:r>
    </w:p>
    <w:p>
      <w:pPr>
        <w:pStyle w:val="Heading3"/>
      </w:pPr>
      <w:r>
        <w:t>물류  (HIGH 0 / MEDIUM 5)</w:t>
      </w:r>
    </w:p>
    <w:p>
      <w:r>
        <w:rPr>
          <w:b/>
        </w:rPr>
        <w:t>🇰🇷 국내 영향</w:t>
      </w:r>
    </w:p>
    <w:p>
      <w:r>
        <w:t>경북도는 이란 전쟁 대응 차원에서 수출기업 물류비·보험료 지원을 긴급 확대하고 13억 원을 추가 투입했다[80][81][82]. 부산진해경제자유구역청은 동북아 콜드체인 허브 구축을 본격화하며 Sea&amp;Air 물류 전략을 추진하기 시작했다[78]. 경북도는 중동 물류대란 장기화에 대응해 수출기업 지원을 강화했다[79][82].</w:t>
      </w:r>
    </w:p>
    <w:p>
      <w:pPr>
        <w:pStyle w:val="Heading3"/>
      </w:pPr>
      <w:r>
        <w:t>기타 산업  (HIGH 1 / MEDIUM 25)</w:t>
      </w:r>
    </w:p>
    <w:p>
      <w:r>
        <w:rPr>
          <w:b/>
        </w:rPr>
        <w:t>🌐 해외 상황</w:t>
      </w:r>
    </w:p>
    <w:p>
      <w:r>
        <w:t>우크라이나 드론이 러시아 정유소 3곳과 유조선을 타격했으며[89][90], 러시아는 우크라이나의 정유소 공격으로 국내 공급이 위협받자 디젤 수출을 금지했다[83][84][86]. 러시아 최대 옴스크 정유공장이 우크라이나 드론 공격 이후 가동을 중단했다[102]. 국제가스연맹(IGU)은 2025년 글로벌 LNG 공급이 역대 최고치인 4억3,700만 톤을 기록했다고 발표했다[85].</w:t>
      </w:r>
    </w:p>
    <w:p>
      <w:r>
        <w:rPr>
          <w:b/>
        </w:rPr>
        <w:t>🇰🇷 국내 영향</w:t>
      </w:r>
    </w:p>
    <w:p>
      <w:r>
        <w:t>한국의 AI 산업 확장이 에너지 공급 한계에 직면하고 있다는 분석이 제기됐다[93]. S-Oil은 윤활기유 공급 부족 사태의 집중 수혜 정유사가 될 것이라는 전망이 나왔다[97]. 중국이 휘발유·경유·항공유 수출을 허용하고 민간 수출도 4개월 만에 재개했다는 보도가 나왔으며[99][100][101], 이는 글로벌 정유제품 공급 정상화 수순으로 평가됐다[100]. 농산물 가격 하락과 고유가가 겹치며 정부가 농가 경영안정 종합대책을 추진하고 있다[94]. 러시아 원유 공급 차질로 푸틴의 선택지가 줄었다는 분석도 나왔다[98].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257</w:t>
            </w:r>
          </w:p>
        </w:tc>
        <w:tc>
          <w:tcPr>
            <w:tcW w:type="dxa" w:w="2946"/>
          </w:tcPr>
          <w:p>
            <w:r>
              <w:t>8.6%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256</w:t>
            </w:r>
          </w:p>
        </w:tc>
        <w:tc>
          <w:tcPr>
            <w:tcW w:type="dxa" w:w="2946"/>
          </w:tcPr>
          <w:p>
            <w:r>
              <w:t>8.6%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426</w:t>
            </w:r>
          </w:p>
        </w:tc>
        <w:tc>
          <w:tcPr>
            <w:tcW w:type="dxa" w:w="2946"/>
          </w:tcPr>
          <w:p>
            <w:r>
              <w:t>14.3%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2036</w:t>
            </w:r>
          </w:p>
        </w:tc>
        <w:tc>
          <w:tcPr>
            <w:tcW w:type="dxa" w:w="2946"/>
          </w:tcPr>
          <w:p>
            <w:r>
              <w:t>68.4%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