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2026-08-11</w:t>
      </w:r>
    </w:p>
    <w:p>
      <w:pPr>
        <w:jc w:val="center"/>
      </w:pPr>
      <w:r>
        <w:rPr>
          <w:color w:val="808080"/>
          <w:sz w:val="18"/>
        </w:rPr>
        <w:t>생성 모델: claude-sonnet-4-6  |  HIGH+MEDIUM 344건 (해외 224건 / 국내 120건)</w:t>
      </w:r>
    </w:p>
    <w:p/>
    <w:p>
      <w:pPr>
        <w:pStyle w:val="Heading2"/>
      </w:pPr>
      <w:r>
        <w:t>오늘의 핵심</w:t>
      </w:r>
    </w:p>
    <w:p>
      <w:r>
        <w:t>이란은 미국이 조건을 충족하지 않는 한 호르무즈 해협을 계속 봉쇄하겠다고 선언한 가운데[5][6][9], 파키스탄 국방장관은 미·이란이 '모종의 합의'에 근접했다고 밝혔으나[12][13][14] 트럼프 대통령은 이란이 면전에서 동의한 뒤 언론을 통해 거부했다고 반박하며 협상 교착이 지속되고 있다[16]. 호르무즈 해협 통과 선박 수는 6~7척 수준으로 급감했으며[28][29][30], BofA는 유가 시장 안정화를 위해 현재보다 10배 많은 선박이 필요하다고 분석했다[31]. 국제유가는 WTI가 125달러를 상회하고 브렌트유가 90달러 선에서 등락하는 등 고공행진을 이어가고 있으며[54][62][68], 호르무즈 충격으로 유가가 5.1% 급등하는 장면도 나타났다[64]. 바브엘만데브 해협에서는 후티의 선박 공격으로 4명이 사망하는 사건이 발생했고[2][7][8], 오만만에서도 화물선 미사일 피격 사건이 보고되는 등 중동 해역 전반의 위험이 고조되고 있다[21][22]. 국내에서는 정부가 비축유 스와프를 재가동하고 나프타 수급안정화 조치를 연장하는 한편[46][47], 부산항발 컨테이너 운임지수가 전주 대비 3.62% 상승하며 2주 연속 오름세를 기록했다[37][38][39].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87 / MEDIUM 88)</w:t>
      </w:r>
    </w:p>
    <w:p>
      <w:r>
        <w:rPr>
          <w:b/>
        </w:rPr>
        <w:t>🌐 해외 상황</w:t>
      </w:r>
    </w:p>
    <w:p>
      <w:r>
        <w:t>이란은 미국이 조건을 충족하지 않는 한 호르무즈 해협 봉쇄를 유지하겠다고 공식 선언했으며[5][6][9], 이란 안보위원회도 같은 입장을 재확인했다[9]. 미군은 봉쇄를 돌파하려 한 파나마 선적 선박에 발포했다[1][18]. 파키스탄 국방장관은 미·이란이 합의에 근접했다고 밝혔으나[12][13][14], 트럼프 대통령은 이란이 면전에서 동의한 뒤 언론을 통해 거부했다고 반박했다[16]. 카타르는 이란-오만 간 호르무즈 협상이 진전되고 있으며 모두에게 긍정적 답변을 받았다고 전했다[20]. 한편 바브엘만데브 해협에서는 후티의 상선 공격으로 4명이 사망했으며[2][7][8][10], 오만 인근에서 MT Acheloos 미사일 피격 사건으로 필리핀 선원들이 귀환했다[3]. 걸프 국가들이 이란의 호르무즈 통제를 수용할 가능성도 제기되고 있다[4].</w:t>
      </w:r>
    </w:p>
    <w:p>
      <w:r>
        <w:rPr>
          <w:b/>
        </w:rPr>
        <w:t>🇰🇷 국내 영향</w:t>
      </w:r>
    </w:p>
    <w:p>
      <w:r>
        <w:t>국내 언론은 트럼프가 핵 협상 대신 호르무즈 개방을 우선 요구하는 방향으로 선회하고 있다고 보도했다[11]. 파키스탄 중재 하에 미·이란 합의 근접 소식이 전해지자 뉴욕증시는 혼조세를 보였다[15]. 미군의 파나마 선적 선박 발포 사실도 국내에 신속히 보도되었다[18]. 바브엘만데브와 오만만에서의 화물선 피격 및 4명 사망 소식도 국내에 전달되었다[19].</w:t>
      </w:r>
    </w:p>
    <w:p>
      <w:pPr>
        <w:pStyle w:val="Heading3"/>
      </w:pPr>
      <w:r>
        <w:t>해양안전  (HIGH 3 / MEDIUM 4)</w:t>
      </w:r>
    </w:p>
    <w:p>
      <w:r>
        <w:rPr>
          <w:b/>
        </w:rPr>
        <w:t>🌐 해외 상황</w:t>
      </w:r>
    </w:p>
    <w:p>
      <w:r>
        <w:t>오만만에서 화물선이 미사일에 피격되었으며 경보가 발령되었다[21][22]. 오만 해안에서는 좌초된 제재 대상 유조선에서 유출된 기름이 400㎢에 달하는 광범위한 해양 오염을 일으켰으며, 오만 당국이 방제 작업을 진행 중이다[23][25][26][27]. 파키스탄인 인질들이 100일째 해상에 억류된 채 구조를 호소하고 있다[24].</w:t>
      </w:r>
    </w:p>
    <w:p>
      <w:pPr>
        <w:pStyle w:val="Heading3"/>
      </w:pPr>
      <w:r>
        <w:t>운임·물류비  (HIGH 4 / MEDIUM 9)</w:t>
      </w:r>
    </w:p>
    <w:p>
      <w:r>
        <w:rPr>
          <w:b/>
        </w:rPr>
        <w:t>🌐 해외 상황</w:t>
      </w:r>
    </w:p>
    <w:p>
      <w:r>
        <w:t>호르무즈 해협 통과 선박 수는 6~7척 수준으로 급감했으며[28][29][30], BofA는 유가 시장 안정화를 위해 현재보다 10배 많은 선박이 필요하다고 분석했다[31]. 호르무즈 위험 항로를 운항하는 선사들의 수익은 급등하고 있으며[32], 호르무즈 통과 유조선 항로의 절반 이상이 불투명한 상태다[33]. 미국은 에너지·비료 운송 외국 선박에 대한 존스법 면제를 90일 연장했다[34].</w:t>
      </w:r>
    </w:p>
    <w:p>
      <w:r>
        <w:rPr>
          <w:b/>
        </w:rPr>
        <w:t>🇰🇷 국내 영향</w:t>
      </w:r>
    </w:p>
    <w:p>
      <w:r>
        <w:t>국제선 유류할증료가 다음 달 20단계로 상승할 예정이다[35]. 부산항발 컨테이너 운임지수(KCCI)는 전주 대비 3.62% 상승하며 2주 연속 오름세를 기록했으며, 미주·중동 노선이 상승을 견인했다[37][38][39][40]. BDI는 3,063포인트를 기록했으며 벌크선 시장은 선형별 혼조세 속 변동성이 확대되고 있다[36].</w:t>
      </w:r>
    </w:p>
    <w:p>
      <w:pPr>
        <w:pStyle w:val="Heading3"/>
      </w:pPr>
      <w:r>
        <w:t>항만·화물  (HIGH 3 / MEDIUM 8)</w:t>
      </w:r>
    </w:p>
    <w:p>
      <w:r>
        <w:rPr>
          <w:b/>
        </w:rPr>
        <w:t>🌐 해외 상황</w:t>
      </w:r>
    </w:p>
    <w:p>
      <w:r>
        <w:t>쿠웨이트의 LNG 수입량이 이란 전쟁 개전 이후 최고 수준으로 급증했다[41]. 인도의 대미 원유 수입은 2024년 12월 이후 최저 수준으로 향하고 있다[44]. 이라크의 석유 수출 통로가 재개되었으나 터키 의존도에 대한 우려가 제기되고 있다[45].</w:t>
      </w:r>
    </w:p>
    <w:p>
      <w:r>
        <w:rPr>
          <w:b/>
        </w:rPr>
        <w:t>🇰🇷 국내 영향</w:t>
      </w:r>
    </w:p>
    <w:p>
      <w:r>
        <w:t>정부는 석유 공급 불안에 대응해 이달 비축유 스와프를 재가동하고 나프타 수급안정화 조치를 연장했다[46][47]. 러시아가 울산에서 한국산 정제유 3만 톤을 반출한 사실이 보도되었다[48]. 중국이 철광석 구매 협상을 국영기업으로 일원화하는 방침을 추진하면서 한국 철강업계의 긴장감이 커지고 있다[51].</w:t>
      </w:r>
    </w:p>
    <w:p>
      <w:pPr>
        <w:pStyle w:val="Heading3"/>
      </w:pPr>
      <w:r>
        <w:t>경제·금융  (HIGH 12 / MEDIUM 81)</w:t>
      </w:r>
    </w:p>
    <w:p>
      <w:r>
        <w:rPr>
          <w:b/>
        </w:rPr>
        <w:t>🌐 해외 상황</w:t>
      </w:r>
    </w:p>
    <w:p>
      <w:r>
        <w:t>호르무즈 봉쇄 지속으로 WTI가 125달러를 상회하는 급등세를 보였으며[54], 브렌트유는 87~90달러 선에서 등락하고 있다[56][58][59][60]. EIA는 중동 공급 위험을 반영해 원유 가격 전망치를 상향 조정했다[61]. 미·이란 합의 기대가 약해지자 유가는 2% 이상 상승했다[53][55].</w:t>
      </w:r>
    </w:p>
    <w:p>
      <w:r>
        <w:rPr>
          <w:b/>
        </w:rPr>
        <w:t>🇰🇷 국내 영향</w:t>
      </w:r>
    </w:p>
    <w:p>
      <w:r>
        <w:t>브렌트유가 장중 90.03달러를 기록하는 등 고유가가 지속되는 가운데[62], 호르무즈 충격으로 유가가 5.1% 급등하며 S&amp;P 500의 최고가 행진이 멈췄다[64]. 파키스탄의 합의 근접 발표 이후 국제유가는 일시 하락 전환했다[63]. 코스피는 장중 낙폭을 딛고 6,340선을 회복하며 마감했고[65], 원·달러 환율은 2.5원 내린 1,415.9원으로 10개월 만의 수준을 기록했다[69]. 미 달러화는 미·이란 합의 낙관론에 하락했다가 회복하는 흐름을 보였다[66].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고유가로 인한 연료비 부담으로 출어를 포기하는 어민이 늘고 있으며, 특단의 대책이 필요하다는 사설이 제기되었다[72].</w:t>
      </w:r>
    </w:p>
    <w:p>
      <w:pPr>
        <w:pStyle w:val="Heading3"/>
      </w:pPr>
      <w:r>
        <w:t>해운  (HIGH 1 / MEDIUM 6)</w:t>
      </w:r>
    </w:p>
    <w:p>
      <w:r>
        <w:rPr>
          <w:b/>
        </w:rPr>
        <w:t>🌐 해외 상황</w:t>
      </w:r>
    </w:p>
    <w:p>
      <w:r>
        <w:t>Hapag-Lloyd와 Maersk가 SE4 서비스를 홍해 항로로 복귀시켰다[73]. 북극항로가 기존 대비 운송 시간을 절반으로 단축할 수 있다는 분석이 나왔다[74]. 미국은 존스법 면제를 외국 선박에 대해 90일 추가 연장했다[75].</w:t>
      </w:r>
    </w:p>
    <w:p>
      <w:r>
        <w:rPr>
          <w:b/>
        </w:rPr>
        <w:t>🇰🇷 국내 영향</w:t>
      </w:r>
    </w:p>
    <w:p>
      <w:r>
        <w:t>한국의 북극항로 시범운항 첫 기항지가 영국 펠릭스토우로 결정되었다[76]. 북극항로 개발 가시화에 따라 K조선업계가 쇄빙선 수주전에 본격 나서고 있다[77]. 정부는 북극항로 시대를 대비해 시행령을 마련하고 범정부 추진체계를 구축하고 있다[79].</w:t>
      </w:r>
    </w:p>
    <w:p>
      <w:pPr>
        <w:pStyle w:val="Heading3"/>
      </w:pPr>
      <w:r>
        <w:t>물류  (HIGH 0 / MEDIUM 3)</w:t>
      </w:r>
    </w:p>
    <w:p>
      <w:r>
        <w:rPr>
          <w:b/>
        </w:rPr>
        <w:t>🇰🇷 국내 영향</w:t>
      </w:r>
    </w:p>
    <w:p>
      <w:r>
        <w:t>CJ대한통운은 2분기 매출액이 전년 대비 10.9% 증가한 3조 3,800억 원, 영업이익 1,016억 원을 기록했다[80][81]. 한편 CJ대한통운 원청교섭이 재차 미뤄질 가능성이 있으며 택배노조가 8월 19일 상견례를 요구하고 있다[82].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사우디아라비아 제다항이 화물 항로 전환으로 인한 혼잡에 직면하고 있다[83].</w:t>
      </w:r>
    </w:p>
    <w:p>
      <w:pPr>
        <w:pStyle w:val="Heading3"/>
      </w:pPr>
      <w:r>
        <w:t>기타 산업  (HIGH 4 / MEDIUM 29)</w:t>
      </w:r>
    </w:p>
    <w:p>
      <w:r>
        <w:rPr>
          <w:b/>
        </w:rPr>
        <w:t>🌐 해외 상황</w:t>
      </w:r>
    </w:p>
    <w:p>
      <w:r>
        <w:t>리비아 자위야 정유시설이 드론 공격으로 대형 화재가 발생했으며, 일요일 이후 5번째 공격으로 보고되었다[84][85][86][88][89][93]. 미국 비상 석유 비축량이 40년 만의 최저 수준으로 떨어졌으며 호르무즈 합의 기대가 약해지면서 디젤 가격이 급등했다[87]. 우크라이나는 국경에서 2,200㎞ 떨어진 러시아 석유 공장을 공격했다[99]. 유럽의 에너지 위기는 겨울철 가스 위험 재부상으로 아직 끝나지 않은 것으로 평가된다[92].</w:t>
      </w:r>
    </w:p>
    <w:p>
      <w:r>
        <w:rPr>
          <w:b/>
        </w:rPr>
        <w:t>🇰🇷 국내 영향</w:t>
      </w:r>
    </w:p>
    <w:p>
      <w:r>
        <w:t>중동 전쟁 여파로 국내 정유 4사가 2분기에도 호실적을 기록했으며, 석유화학 부문은 성적이 엇갈렸다[94]. GS칼텍스는 글로벌 공급 차질 수혜로 윤활유 영업이익이 5배 급증했다[97]. 중동발 LNG 가격 상승과 폭염이 겹치면서 한전의 역마진 우려가 커지고 있다[100]. 평택 위험물 보관창고에서 대형 화재가 발생해 21시간 만에 완진되었으며 인명피해는 없었다[101][102][103].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2893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114</w:t>
            </w:r>
          </w:p>
        </w:tc>
        <w:tc>
          <w:tcPr>
            <w:tcW w:type="dxa" w:w="2946"/>
          </w:tcPr>
          <w:p>
            <w:r>
              <w:t>3.9%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230</w:t>
            </w:r>
          </w:p>
        </w:tc>
        <w:tc>
          <w:tcPr>
            <w:tcW w:type="dxa" w:w="2946"/>
          </w:tcPr>
          <w:p>
            <w:r>
              <w:t>8.0%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392</w:t>
            </w:r>
          </w:p>
        </w:tc>
        <w:tc>
          <w:tcPr>
            <w:tcW w:type="dxa" w:w="2946"/>
          </w:tcPr>
          <w:p>
            <w:r>
              <w:t>13.5%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2157</w:t>
            </w:r>
          </w:p>
        </w:tc>
        <w:tc>
          <w:tcPr>
            <w:tcW w:type="dxa" w:w="2946"/>
          </w:tcPr>
          <w:p>
            <w:r>
              <w:t>74.6%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