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2026-04-03</w:t>
      </w:r>
    </w:p>
    <w:p>
      <w:pPr>
        <w:jc w:val="center"/>
      </w:pPr>
      <w:r>
        <w:rPr>
          <w:color w:val="808080"/>
          <w:sz w:val="18"/>
        </w:rPr>
        <w:t>생성 모델: claude-sonnet-4-6  |  HIGH+MEDIUM 394건 (해외 190건 / 국내 204건)</w:t>
      </w:r>
    </w:p>
    <w:p/>
    <w:p>
      <w:pPr>
        <w:pStyle w:val="Heading2"/>
      </w:pPr>
      <w:r>
        <w:t>오늘의 핵심</w:t>
      </w:r>
    </w:p>
    <w:p>
      <w:r>
        <w:t>호르무즈 해협 봉쇄 이후 처음으로 프랑스·일본·오만 선박이 해협을 통과하며 부분적 재개 신호가 나타났고, 한국을 포함한 40여 개국 외교장관이 해협 개방을 논의하는 등 외교적 움직임이 가시화되고 있다. 그러나 이란이 UAE 가스 플랜트와 쿠웨이트 정유시설을 공격하고 통행료(톨) 부과 방식으로 '우호국' 선박에만 통행을 허용하는 등 봉쇄의 선택적 완화 국면이 전개되고 있다. 브렌트유 현물 가격은 한때 배럴당 141달러를 기록하며 2008년 금융위기 이후 최고치를 경신했고, 국내 나프타 수급 불안으로 석유화학 업계의 이달 생산 중단 가능성이 제기되며 편의점 숟가락·빨대 등 생활용품 품귀 현상이 현실화되고 있다. 코스피와 원화는 호르무즈 재개 기대감에 반등했으나, 유류할증료가 이미 3배 수준으로 급등한 가운데 5월 이후 물류비 추가 충격 가능성이 경고되고 있다. 정부는 호르무즈 우회 운임 상승분에 대한 관세 면제 조치를 시행하고 자동차 수출 물류비·유동성 지원에 나섰으며, 여당은 나프타 수급 지원을 위한 추경 검토를 밝혔다.</w:t>
      </w:r>
    </w:p>
    <w:p/>
    <w:p>
      <w:pPr>
        <w:pStyle w:val="Heading2"/>
      </w:pPr>
      <w:r>
        <w:t>카테고리별 분석</w:t>
      </w:r>
    </w:p>
    <w:p>
      <w:pPr>
        <w:pStyle w:val="Heading3"/>
      </w:pPr>
      <w:r>
        <w:t>안보·군사  (HIGH 97 / MEDIUM 134)</w:t>
      </w:r>
    </w:p>
    <w:p>
      <w:r>
        <w:rPr>
          <w:b/>
        </w:rPr>
        <w:t>🌐 해외 상황</w:t>
      </w:r>
    </w:p>
    <w:p>
      <w:r>
        <w:t>호르무즈 해협 봉쇄 이후 처음으로 프랑스·일본·오만 선박이 해협을 통과했으며, 이란은 '우호국' 선박에 한해 통행을 허용하고 통행료를 부과하는 방식으로 해협을 관리하고 있다. 이란은 UAE 가스 플랜트와 쿠웨이트 정유시설을 공격한 것으로 보도되어 주변국 에너지 인프라에 대한 위협이 지속되고 있다. 인도는 이란산 원유 도입 재개를 보류하고 제재 대상 유조선의 항로를 중국으로 변경한 것으로 전해졌다. 프랑스와 한국이 호르무즈 해협 재개를 위해 협력하기로 한 것으로 보도되었으며, 일부 분석에서는 이번 봉쇄 위기를 1956년 수에즈 위기와 비교하는 시각도 제기되고 있다.</w:t>
      </w:r>
    </w:p>
    <w:p>
      <w:r>
        <w:rPr>
          <w:b/>
        </w:rPr>
        <w:t>🇰🇷 국내 영향</w:t>
      </w:r>
    </w:p>
    <w:p>
      <w:r>
        <w:t>한국을 포함한 40여 개국 외교장관이 호르무즈 해협 개방을 논의하는 회의를 개최했으며, 프랑스와 한국이 해협 재개를 위해 공동 대응하기로 한 것으로 보도되었다. 트럼프 대통령은 호르무즈를 쉽게 열고 석유를 확보해 큰돈을 벌 수 있다고 발언하며 동맹국에 대한 압박 가능성이 제기되고 있다. 코스피와 원화는 호르무즈 재개 기대감에 반등하는 등 해협 상황이 국내 금융시장에 직접적인 영향을 미치고 있다.</w:t>
      </w:r>
    </w:p>
    <w:p>
      <w:pPr>
        <w:pStyle w:val="Heading3"/>
      </w:pPr>
      <w:r>
        <w:t>운임·물류비  (HIGH 7 / MEDIUM 7)</w:t>
      </w:r>
    </w:p>
    <w:p>
      <w:r>
        <w:rPr>
          <w:b/>
        </w:rPr>
        <w:t>🌐 해외 상황</w:t>
      </w:r>
    </w:p>
    <w:p>
      <w:r>
        <w:t>일본 소유 LNG 탱커를 포함한 복수의 선박이 호르무즈 해협을 통과했으며, 인도 국적 선박 3척도 추가 도착이 예상되는 것으로 보도되었다. 컨테이너 운임은 공급 과잉(capacity glut)이 호르무즈 충격을 일부 상쇄하면서 상승세가 정체된 것으로 나타났다. 인도 바스마티 쌀 수출업체들은 전쟁으로 인한 물류 혼란으로 해운사들이 추가 요금을 부과하고 있다며 구제를 요청하고 있다. 탱커 시장에 대해서는 중동 리스크에도 불구하고 긍정적 전망이 제시된 것으로 보도되었다.</w:t>
      </w:r>
    </w:p>
    <w:p>
      <w:r>
        <w:rPr>
          <w:b/>
        </w:rPr>
        <w:t>🇰🇷 국내 영향</w:t>
      </w:r>
    </w:p>
    <w:p>
      <w:r>
        <w:t>국내 유류할증료가 이미 3배 수준으로 급등한 것으로 보도되었으며, 5월 이후 추가적인 물류비 충격 가능성이 경고되고 있다. 정부는 호르무즈 우회 운임 상승분을 관세 산정에서 면제하는 조치를 시행했으며, 종량제봉투 품질검수 기간도 10일에서 1일로 단축하는 등 공급망 대응에 나섰다. 아마존과 우체국도 유류할증료를 도입한 것으로 보도되어 물류비 상승이 전방위로 확산되고 있다. 유통업계는 물류비·원가 상승의 직격탄을 맞고 있으며, 컨테이너 부족 현상도 가시화되고 있는 것으로 보인다.</w:t>
      </w:r>
    </w:p>
    <w:p>
      <w:pPr>
        <w:pStyle w:val="Heading3"/>
      </w:pPr>
      <w:r>
        <w:t>항만·화물  (HIGH 2 / MEDIUM 4)</w:t>
      </w:r>
    </w:p>
    <w:p>
      <w:r>
        <w:rPr>
          <w:b/>
        </w:rPr>
        <w:t>🌐 해외 상황</w:t>
      </w:r>
    </w:p>
    <w:p>
      <w:r>
        <w:t>방글라데시 정부는 LNG 화물 3건을 추가 긴급 구매에 나섰으며, 싱가포르발 선박이 치타공항에 2만 7,300톤의 디젤을 반입했다. 인도 인디안오일은 LPG 공급이 안정적이라고 밝히며 패닉 구매를 자제할 것을 당부했다.</w:t>
      </w:r>
    </w:p>
    <w:p>
      <w:r>
        <w:rPr>
          <w:b/>
        </w:rPr>
        <w:t>🇰🇷 국내 영향</w:t>
      </w:r>
    </w:p>
    <w:p>
      <w:r>
        <w:t>한국 정부는 비료 5개월치를 확보한 것으로 보도되었으며, 곡물 가격 상승 시 사료·육류 가격의 연쇄 인상 가능성이 제기되고 있다. 석유 대리점들은 최고가격제로 인해 유통비가 막혀 공급 중단 및 폐업 위기에 처했다고 호소하고 있다.</w:t>
      </w:r>
    </w:p>
    <w:p>
      <w:pPr>
        <w:pStyle w:val="Heading3"/>
      </w:pPr>
      <w:r>
        <w:t>경제·금융  (HIGH 7 / MEDIUM 63)</w:t>
      </w:r>
    </w:p>
    <w:p>
      <w:r>
        <w:rPr>
          <w:b/>
        </w:rPr>
        <w:t>🌐 해외 상황</w:t>
      </w:r>
    </w:p>
    <w:p>
      <w:r>
        <w:t>브렌트유 현물 가격이 한때 배럴당 141달러를 기록하며 2008년 금융위기 이후 최고치를 경신했으며, WTI 원유는 트럼프의 가격 상한 시도에도 불구하고 브렌트를 상회하는 이례적 현상이 나타났다. 이란 공격 이후 근월물 유가가 원월물 대비 기록적인 프리미엄을 형성하는 등 공급 불안이 극도로 고조되고 있다. 미국 소비자 심리지수는 전쟁과 유가 위기 속에 역대 세 번째로 낮은 수준으로 급락했으며, EU 연료 가격도 이란 전쟁으로 인한 공급 압박으로 계속 상승하고 있다. 방글라데시 정부는 에너지 위기로 인해 근무 시간 단축 및 조기 폐점 조치를 시행했으며, UN은 중동 분쟁으로 인한 에너지 비용 상승이 3월 식품 가격 급등을 초래했다고 밝혔다. 유가 150달러 돌파 우려도 제기되고 있으며, 고유가발 인플레이션 압력으로 일본 국채금리가 27년 만에 최고치를 기록했다.</w:t>
      </w:r>
    </w:p>
    <w:p>
      <w:r>
        <w:rPr>
          <w:b/>
        </w:rPr>
        <w:t>🇰🇷 국내 영향</w:t>
      </w:r>
    </w:p>
    <w:p>
      <w:r>
        <w:t>코스피와 원화는 호르무즈 재개 기대감에 각각 약 3% 반등했으나, 브렌트유 현물이 141달러까지 치솟으며 공급 불안이 최고조에 달한 상황이다. 한전KPS는 자원안보 위기 극복을 위한 대국민 에너지 절약 캠페인을 전개하고 있으며, 증평군 등 지방정부도 중동 사태 비상경제대응 점검회의를 진행하고 있다. 고유가발 인플레이션 압력이 국내 물가 전반에 확산될 가능성이 있으며, 에너지 슈퍼 트릴레마 상황에서 한국의 생존 전략 논의가 본격화되고 있는 것으로 보인다.</w:t>
      </w:r>
    </w:p>
    <w:p>
      <w:pPr>
        <w:pStyle w:val="Heading3"/>
      </w:pPr>
      <w:r>
        <w:t>해운  (HIGH 0 / MEDIUM 6)</w:t>
      </w:r>
    </w:p>
    <w:p>
      <w:r>
        <w:rPr>
          <w:b/>
        </w:rPr>
        <w:t>🌐 해외 상황</w:t>
      </w:r>
    </w:p>
    <w:p>
      <w:r>
        <w:t>CMA CGM이 한국에서 건조된 메탄올 추진 컨테이너선을 인도받은 것으로 보도되었다.</w:t>
      </w:r>
    </w:p>
    <w:p>
      <w:r>
        <w:rPr>
          <w:b/>
        </w:rPr>
        <w:t>🇰🇷 국내 영향</w:t>
      </w:r>
    </w:p>
    <w:p>
      <w:r>
        <w:t>1분기 상선 수주 실적에서 HD현대중공업은 양호한 성과를 보인 반면 한화오션은 다소 부진했으며, LNG 운반선 수주가 주목받고 있다. 울산항만공사는 중·일과의 국제 급유 협력체계를 확대하고, 친환경 연료 급유 선박에 최대 1,000만 원의 인센티브를 도입했다. 해운업의 부산 이전 논의가 정치적 관점이 아닌 산업 논리로 검토되어야 한다는 의견도 제기되고 있다.</w:t>
      </w:r>
    </w:p>
    <w:p>
      <w:pPr>
        <w:pStyle w:val="Heading3"/>
      </w:pPr>
      <w:r>
        <w:t>물류  (HIGH 0 / MEDIUM 3)</w:t>
      </w:r>
    </w:p>
    <w:p>
      <w:r>
        <w:rPr>
          <w:b/>
        </w:rPr>
        <w:t>🇰🇷 국내 영향</w:t>
      </w:r>
    </w:p>
    <w:p>
      <w:r>
        <w:t>정부는 중동 리스크에 대응해 자동차 수출 물류비 및 유동성 지원 방안을 마련했다. 인천 중소기업들은 물류 피해가 원자재 분야로 확산되고 있다고 호소하고 있다. 현대글로비스는 레드에너지를 상대로 한 3,000만 달러 규모 소송에서 승소 판결을 받은 것으로 보도되었다.</w:t>
      </w:r>
    </w:p>
    <w:p>
      <w:pPr>
        <w:pStyle w:val="Heading3"/>
      </w:pPr>
      <w:r>
        <w:t>기타 산업  (HIGH 16 / MEDIUM 48)</w:t>
      </w:r>
    </w:p>
    <w:p>
      <w:r>
        <w:rPr>
          <w:b/>
        </w:rPr>
        <w:t>🌐 해외 상황</w:t>
      </w:r>
    </w:p>
    <w:p>
      <w:r>
        <w:t>이란-미국 전쟁의 영향으로 콘돔 등 석유화학 기반 원자재 부족이 예상된다는 보도가 나왔으며, 아부다비 알루미늄 생산 정상화에 최대 1년이 소요될 수 있다는 전망이 제시되었다. 러시아는 인도에 대한 원유·LNG 공급 확대 의사를 밝혔으며, 파키스탄은 LNG 잉여 상황에서 공급 부족 위기로 전환될 가능성이 제기되고 있다. JERA의 미국 Commonwealth LNG와의 구매 계약이 종료된 것으로 DOE 신고를 통해 확인되었다.</w:t>
      </w:r>
    </w:p>
    <w:p>
      <w:r>
        <w:rPr>
          <w:b/>
        </w:rPr>
        <w:t>🇰🇷 국내 영향</w:t>
      </w:r>
    </w:p>
    <w:p>
      <w:r>
        <w:t>나프타 수급 불안으로 석유화학 업계의 이달 생산 중단 가능성이 제기되었으며, 나프타 가격이 이미 82% 폭등했다는 보도도 나왔다. 편의점 숟가락·빨대 등 합성수지 기반 생활용품의 발주 중단 및 품귀 현상이 현실화되고 있으며, 4월 '나프타 쇼크'가 생활 물가 전방위 압박으로 이어지고 있다. 여당은 추경을 통한 나프타 수급 지원 검토와 3·4월 합성수지 가격 인상 폭 완화 방안을 밝혔으며, 중동 사태 장기화로 기업 신용등급 하향 우려도 제기되고 있다. 원유에 이어 비료 공급 충격으로 올해 작황에 적신호가 켜지고 글로벌 식량위기 우려도 확산되고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1962</w:t>
            </w:r>
          </w:p>
        </w:tc>
        <w:tc>
          <w:tcPr>
            <w:tcW w:type="dxa" w:w="2946"/>
          </w:tcPr>
          <w:p>
            <w:r>
              <w:t>100.0%</w:t>
            </w:r>
          </w:p>
        </w:tc>
      </w:tr>
      <w:tr>
        <w:tc>
          <w:tcPr>
            <w:tcW w:type="dxa" w:w="2946"/>
          </w:tcPr>
          <w:p>
            <w:r>
              <w:t>HIGH</w:t>
            </w:r>
          </w:p>
        </w:tc>
        <w:tc>
          <w:tcPr>
            <w:tcW w:type="dxa" w:w="2946"/>
          </w:tcPr>
          <w:p>
            <w:r>
              <w:t>129</w:t>
            </w:r>
          </w:p>
        </w:tc>
        <w:tc>
          <w:tcPr>
            <w:tcW w:type="dxa" w:w="2946"/>
          </w:tcPr>
          <w:p>
            <w:r>
              <w:t>6.6%</w:t>
            </w:r>
          </w:p>
        </w:tc>
      </w:tr>
      <w:tr>
        <w:tc>
          <w:tcPr>
            <w:tcW w:type="dxa" w:w="2946"/>
          </w:tcPr>
          <w:p>
            <w:r>
              <w:t>MEDIUM</w:t>
            </w:r>
          </w:p>
        </w:tc>
        <w:tc>
          <w:tcPr>
            <w:tcW w:type="dxa" w:w="2946"/>
          </w:tcPr>
          <w:p>
            <w:r>
              <w:t>265</w:t>
            </w:r>
          </w:p>
        </w:tc>
        <w:tc>
          <w:tcPr>
            <w:tcW w:type="dxa" w:w="2946"/>
          </w:tcPr>
          <w:p>
            <w:r>
              <w:t>13.5%</w:t>
            </w:r>
          </w:p>
        </w:tc>
      </w:tr>
      <w:tr>
        <w:tc>
          <w:tcPr>
            <w:tcW w:type="dxa" w:w="2946"/>
          </w:tcPr>
          <w:p>
            <w:r>
              <w:t>LOW</w:t>
            </w:r>
          </w:p>
        </w:tc>
        <w:tc>
          <w:tcPr>
            <w:tcW w:type="dxa" w:w="2946"/>
          </w:tcPr>
          <w:p>
            <w:r>
              <w:t>278</w:t>
            </w:r>
          </w:p>
        </w:tc>
        <w:tc>
          <w:tcPr>
            <w:tcW w:type="dxa" w:w="2946"/>
          </w:tcPr>
          <w:p>
            <w:r>
              <w:t>14.2%</w:t>
            </w:r>
          </w:p>
        </w:tc>
      </w:tr>
      <w:tr>
        <w:tc>
          <w:tcPr>
            <w:tcW w:type="dxa" w:w="2946"/>
          </w:tcPr>
          <w:p>
            <w:r>
              <w:t>NONE</w:t>
            </w:r>
          </w:p>
        </w:tc>
        <w:tc>
          <w:tcPr>
            <w:tcW w:type="dxa" w:w="2946"/>
          </w:tcPr>
          <w:p>
            <w:r>
              <w:t>1290</w:t>
            </w:r>
          </w:p>
        </w:tc>
        <w:tc>
          <w:tcPr>
            <w:tcW w:type="dxa" w:w="2946"/>
          </w:tcPr>
          <w:p>
            <w:r>
              <w:t>65.7%</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