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해상 공급망 모니터링 일일 분석 — 2026-04-23</w:t>
      </w:r>
    </w:p>
    <w:p>
      <w:pPr>
        <w:jc w:val="center"/>
      </w:pPr>
      <w:r>
        <w:rPr>
          <w:color w:val="808080"/>
          <w:sz w:val="18"/>
        </w:rPr>
        <w:t>생성 모델: claude-sonnet-4-6  |  HIGH+MEDIUM 579건 (해외 282건 / 국내 297건)</w:t>
      </w:r>
    </w:p>
    <w:p/>
    <w:p>
      <w:pPr>
        <w:pStyle w:val="Heading2"/>
      </w:pPr>
      <w:r>
        <w:t>오늘의 핵심</w:t>
      </w:r>
    </w:p>
    <w:p>
      <w:r>
        <w:t>호르무즈 해협에서 이란이 통과 선박 3척에 발포하고 컨테이너선을 나포하면서 하루 통과 선박이 130척에서 1척 수준으로 급감했다. 트럼프 대통령은 기뢰 설치 선박 격침 명령을 내렸고, BIMCO는 기뢰 제거에 최대 6개월이 소요될 수 있다고 경고해 유가 충격이 연말까지 지속될 가능성이 제기됐다. 브렌트유는 105달러를 돌파했고, 파나마 운하 통행료는 사상 최고 수준으로 급등했으며, LNG 물량이 파나마 운하로 우회하면서 LNG 통과 수수료도 기록적 수준으로 상승했다. 한국 1분기 GDP는 1.7% 성장했으나 중동 사태로 전망에 부정적 영향이 커졌다는 평가가 나왔고, 국무총리가 여수 석유화학공장을 직접 방문해 나프타 수급 안정을 당부하는 등 공급망 위기 대응이 본격화됐다. IEA는 세계가 역사상 최대 에너지 안보 위협에 직면했다고 경고했으며, UN은 호르무즈 해협이 계속 봉쇄될 경우 심각한 식량 위기가 발생할 수 있다고 경보를 발령했다.</w:t>
      </w:r>
    </w:p>
    <w:p/>
    <w:p>
      <w:pPr>
        <w:pStyle w:val="Heading2"/>
      </w:pPr>
      <w:r>
        <w:t>카테고리별 분석</w:t>
      </w:r>
    </w:p>
    <w:p>
      <w:pPr>
        <w:pStyle w:val="Heading3"/>
      </w:pPr>
      <w:r>
        <w:t>안보·군사  (HIGH 204 / MEDIUM 114)</w:t>
      </w:r>
    </w:p>
    <w:p>
      <w:r>
        <w:rPr>
          <w:b/>
        </w:rPr>
        <w:t>🌐 해외 상황</w:t>
      </w:r>
    </w:p>
    <w:p>
      <w:r>
        <w:t>이란이 호르무즈 해협 통과 선박 3척에 발포하고 컨테이너선을 나포해 항구 방향으로 이동시켰으며, 이란 고속정 군집 운용이 해협 위협을 가중시키고 있다. 트럼프 대통령은 기뢰를 설치하는 선박을 모두 격침하라는 명령을 내렸고, 미 해군은 인도양에서 이란 연계 유조선을 추가 나포해 이란에 협상 재개 압박을 가했다. 이란 사법총감독은 미국이 호르무즈 해협에 접근하지 못한다고 주장했으며, 이란은 평화 협상 붕괴 이후 해협 통제력을 과시하고 있다. 인도 국적 선박 1척이 호르무즈에서 공격을 받았고 14척이 페르시아만에 여전히 잔류 중이다. IEA는 세계가 역사상 최대 에너지 안보 위협에 직면했다고 경고했다.</w:t>
      </w:r>
    </w:p>
    <w:p>
      <w:r>
        <w:rPr>
          <w:b/>
        </w:rPr>
        <w:t>🇰🇷 국내 영향</w:t>
      </w:r>
    </w:p>
    <w:p>
      <w:r>
        <w:t>한국 외교부 특사가 이란 외무장관과 면담하고 호르무즈 통과 협력을 촉구했다. 이란이 호르무즈 해협에서 선박 3척에 발포하고 봉쇄를 유지하는 상황이 국내 언론에서도 주요 뉴스로 보도됐다. 한국은 베트남과의 파트너십 강화를 통해 글로벌 충격에 대응하는 방안을 모색 중이며, 이재용·최태원 등 주요 기업인이 참여한 한-베트남 정상회담에서 에너지 분야 협력이 논의됐다.</w:t>
      </w:r>
    </w:p>
    <w:p>
      <w:pPr>
        <w:pStyle w:val="Heading3"/>
      </w:pPr>
      <w:r>
        <w:t>해양안전  (HIGH 0 / MEDIUM 3)</w:t>
      </w:r>
    </w:p>
    <w:p>
      <w:r>
        <w:rPr>
          <w:b/>
        </w:rPr>
        <w:t>🌐 해외 상황</w:t>
      </w:r>
    </w:p>
    <w:p>
      <w:r>
        <w:t>미국 BP 체리포인트 정유 시설에서 폭발 사고가 발생해 3명이 병원으로 이송됐으며 조사가 개시됐다.</w:t>
      </w:r>
    </w:p>
    <w:p>
      <w:r>
        <w:rPr>
          <w:b/>
        </w:rPr>
        <w:t>🇰🇷 국내 영향</w:t>
      </w:r>
    </w:p>
    <w:p>
      <w:r>
        <w:t>부산항에서 밀폐공간 사고를 가정한 훈련이 실시돼 현장 대응력을 점검했다. 해양경찰은 해무(海霧)로 인한 첨단 시스템 사각지대 문제를 점검하고 대응 강화에 나섰다.</w:t>
      </w:r>
    </w:p>
    <w:p>
      <w:pPr>
        <w:pStyle w:val="Heading3"/>
      </w:pPr>
      <w:r>
        <w:t>운임·물류비  (HIGH 11 / MEDIUM 13)</w:t>
      </w:r>
    </w:p>
    <w:p>
      <w:r>
        <w:rPr>
          <w:b/>
        </w:rPr>
        <w:t>🌐 해외 상황</w:t>
      </w:r>
    </w:p>
    <w:p>
      <w:r>
        <w:t>호르무즈 해협 봉쇄로 에너지 화물이 파나마 운하로 우회하면서 LNG 통과 수수료가 기록적 수준으로 상승했다. 이란은 호르무즈 통행료 수입이 중앙은행에 첫 예치됐다고 밝혀 통행료 징수 체계를 공식화하는 움직임을 보였다. 이란의 통과 선박 발포로 호르무즈 교통이 다시 마비됐으며, 케냐 수출은 홍해 지연의 영향을 받고 있다. 말라카 해협 통행료 부과 논의가 인도네시아에서 제기됐다가 말레이시아가 일방적 조치에 반대 입장을 표명하면서 논란이 됐다. 글로벌 화물·물류 비용은 연료비 상승으로 변동성이 지속되고 있으며, 유럽 선사들은 중동 긴장 속 단기 반사이익을 보고 있다는 분석도 나왔다.</w:t>
      </w:r>
    </w:p>
    <w:p>
      <w:r>
        <w:rPr>
          <w:b/>
        </w:rPr>
        <w:t>🇰🇷 국내 영향</w:t>
      </w:r>
    </w:p>
    <w:p>
      <w:r>
        <w:t>파나마 운하 통행료가 사상 최고 수준으로 급등했으며, 이는 호르무즈 봉쇄 여파로 미국산 에너지 확보 경쟁이 심화된 데 따른 것으로 보도됐다. 호르무즈 해협 하루 통과 선박이 130척에서 1척 수준으로 급감했다는 보도가 나왔다. 기뢰 제거에 최대 6개월이 소요될 수 있다는 전망과 함께 유가 충격이 연말까지 지속될 가능성이 제기됐다. 이란이 호르무즈 통행료를 중앙은행에 예치하기 시작했다는 소식도 국내에서 주목받았다.</w:t>
      </w:r>
    </w:p>
    <w:p>
      <w:pPr>
        <w:pStyle w:val="Heading3"/>
      </w:pPr>
      <w:r>
        <w:t>항만·화물  (HIGH 2 / MEDIUM 8)</w:t>
      </w:r>
    </w:p>
    <w:p>
      <w:r>
        <w:rPr>
          <w:b/>
        </w:rPr>
        <w:t>🌐 해외 상황</w:t>
      </w:r>
    </w:p>
    <w:p>
      <w:r>
        <w:t>인도 정유사들은 호르무즈 봉쇄로 원유 공급이 차단되자 비축 원유에 의존하고 있다.</w:t>
      </w:r>
    </w:p>
    <w:p>
      <w:r>
        <w:rPr>
          <w:b/>
        </w:rPr>
        <w:t>🇰🇷 국내 영향</w:t>
      </w:r>
    </w:p>
    <w:p>
      <w:r>
        <w:t>카타르발 LNG선 공급 과잉설과 관련해 인도 지연 0건 여부가 점검됐다. 부산항은 AI를 활용한 선박·항만 연결 국제 공동연구 실증 단계에 돌입했다. 정부는 항만 내 무단 방치 선박을 직접 제거할 수 있는 법적 근거를 마련해 항만 안전 규제를 강화했다. 부산항만공사는 해외사업 리스크관리위원회를 재정비하고 외부 전문가 6명을 위촉했다. 동해·묵호항의 올해 1분기 물동량은 전년 동기 대비 1.1% 증가했으며, LNG 직수입자 확대 속 자주 물량 확보가 에너지 안보 대응력 강화 수단으로 부상했다.</w:t>
      </w:r>
    </w:p>
    <w:p>
      <w:pPr>
        <w:pStyle w:val="Heading3"/>
      </w:pPr>
      <w:r>
        <w:t>경제·금융  (HIGH 9 / MEDIUM 129)</w:t>
      </w:r>
    </w:p>
    <w:p>
      <w:r>
        <w:rPr>
          <w:b/>
        </w:rPr>
        <w:t>🌐 해외 상황</w:t>
      </w:r>
    </w:p>
    <w:p>
      <w:r>
        <w:t>브렌트유가 105달러를 돌파했으며, 이란 수석 협상가 사임 보도 이후 유가가 추가 급등했다. 원유 가격은 미-이란 교착 상태와 호르무즈 봉쇄 지속으로 103달러를 넘어선 뒤 상승세를 이어가고 있다. 미-이란 협상 재개 가능성이 거론되면서 유가가 일시 반응했으나 봉쇄 지속으로 상승 압력이 유지됐다. 항공사들이 제트 연료 위기로 항공편을 대거 취소하고 있다는 보도가 나왔다. 네슬레는 중동 분쟁 속에서도 강한 매출 성장을 보고했다.</w:t>
      </w:r>
    </w:p>
    <w:p>
      <w:r>
        <w:rPr>
          <w:b/>
        </w:rPr>
        <w:t>🇰🇷 국내 영향</w:t>
      </w:r>
    </w:p>
    <w:p>
      <w:r>
        <w:t>한국 1분기 GDP는 1.7% 성장했으나 중동 사태로 전망에 부정적 영향이 커졌다는 평가가 나왔다. 서울 증시는 미-이란 휴전 연장 소식에 신고가를 기록하기도 했으나, 종전 협상 불확실성과 이란 긴장 고조로 뉴욕 증시가 하락 출발하는 등 변동성이 지속됐다. 국제유가가 100달러를 재돌파하면서 미 달러화가 강세를 보였고, 달러-엔 환율이 160엔에 근접했다. 미-이란 선박 나포 경쟁이 이어지면서 유가 상승 흐름이 지속됐다.</w:t>
      </w:r>
    </w:p>
    <w:p>
      <w:pPr>
        <w:pStyle w:val="Heading3"/>
      </w:pPr>
      <w:r>
        <w:t>수산물  (HIGH 0 / MEDIUM 1)</w:t>
      </w:r>
    </w:p>
    <w:p>
      <w:r>
        <w:rPr>
          <w:b/>
        </w:rPr>
        <w:t>🌐 해외 상황</w:t>
      </w:r>
    </w:p>
    <w:p>
      <w:r>
        <w:t>스리랑카의 3월 차(茶) 수출이 전년 동월 대비 16% 감소했으며, 중동 전쟁의 영향을 받은 것으로 보도됐다.</w:t>
      </w:r>
    </w:p>
    <w:p>
      <w:pPr>
        <w:pStyle w:val="Heading3"/>
      </w:pPr>
      <w:r>
        <w:t>해운  (HIGH 1 / MEDIUM 17)</w:t>
      </w:r>
    </w:p>
    <w:p>
      <w:r>
        <w:rPr>
          <w:b/>
        </w:rPr>
        <w:t>🌐 해외 상황</w:t>
      </w:r>
    </w:p>
    <w:p>
      <w:r>
        <w:t>아시아 선주들이 서방 선사보다 먼저 호르무즈를 통과하겠다는 전략을 취하고 있다고 업계 임원들이 밝혔다. 인도 선박 10척이 호르무즈를 빠져나갔으나 14척은 페르시아만에 잔류 중이며, 인도 수출업체들은 대체 항로를 활용하고 있다. 러시아산 원유가 드루즈바 파이프라인을 통해 슬로바키아로 3개월 만에 재개됐으며, 인도는 러시아산 원유 수입 급증에 맞춰 러시아 선박 보험 승인을 확대했다. DFDS는 예외적 상황으로 인한 운항 일정 차질을 공지했다.</w:t>
      </w:r>
    </w:p>
    <w:p>
      <w:r>
        <w:rPr>
          <w:b/>
        </w:rPr>
        <w:t>🇰🇷 국내 영향</w:t>
      </w:r>
    </w:p>
    <w:p>
      <w:r>
        <w:t>울산항에서 세계 최초로 암모니아 추진선 벙커링 실증에 성공했다. 현대글로비스는 외형 성장 속 해운 부문은 버티고 있으나 물류 부문은 둔화되는 혼조 양상을 보였다. 인천시장이 인천신항 SNCT를 긴급 점검하며 중동발 파고에 첨단 물류로 대응하겠다는 방침을 밝혔다.</w:t>
      </w:r>
    </w:p>
    <w:p>
      <w:pPr>
        <w:pStyle w:val="Heading3"/>
      </w:pPr>
      <w:r>
        <w:t>물류  (HIGH 0 / MEDIUM 5)</w:t>
      </w:r>
    </w:p>
    <w:p>
      <w:r>
        <w:rPr>
          <w:b/>
        </w:rPr>
        <w:t>🌐 해외 상황</w:t>
      </w:r>
    </w:p>
    <w:p>
      <w:r>
        <w:t>현대글로비스의 1분기 순이익이 감소했다.</w:t>
      </w:r>
    </w:p>
    <w:p>
      <w:r>
        <w:rPr>
          <w:b/>
        </w:rPr>
        <w:t>🇰🇷 국내 영향</w:t>
      </w:r>
    </w:p>
    <w:p>
      <w:r>
        <w:t>유류비·기자재값 폭등으로 물류기업 빅3의 수익성에 비상등이 켜졌다. 서울시는 중동 사태로 피해를 입은 수출기업에 물류비를 최대 3,000만 원까지 긴급 지원하기로 했다. BGF로지스는 화물연대의 파업을 불법으로 규정하고 교섭 주체로 인정할 수 없다는 입장을 밝혔다.</w:t>
      </w:r>
    </w:p>
    <w:p>
      <w:pPr>
        <w:pStyle w:val="Heading3"/>
      </w:pPr>
      <w:r>
        <w:t>기타 산업  (HIGH 15 / MEDIUM 47)</w:t>
      </w:r>
    </w:p>
    <w:p>
      <w:r>
        <w:rPr>
          <w:b/>
        </w:rPr>
        <w:t>🌐 해외 상황</w:t>
      </w:r>
    </w:p>
    <w:p>
      <w:r>
        <w:t>달라스 연준에 따르면 석유 업계 임원들은 호르무즈 교란으로부터의 빠른 회복을 기대하기 어렵다고 밝혔다. 아시아 정유사들이 이란 전쟁 여파로 정제 가동을 줄이면서 디젤·제트 연료 공급 위험이 커지고 있다. 인도는 중동 교란으로 글로벌 가격이 급등한 요소비료(urea)를 두 배 가격에 수입하고 있으며, 남아프리카공화국에서도 비료 부족 우려가 제기됐다. UN은 호르무즈 해협이 계속 봉쇄될 경우 심각하고 광범위한 식량 위기가 발생할 수 있다고 경고했다. 제트 연료 수입 흐름이 붕괴됐다는 보도도 나왔다.</w:t>
      </w:r>
    </w:p>
    <w:p>
      <w:r>
        <w:rPr>
          <w:b/>
        </w:rPr>
        <w:t>🇰🇷 국내 영향</w:t>
      </w:r>
    </w:p>
    <w:p>
      <w:r>
        <w:t>국무총리가 LG화학 여수 석유화학공장을 직접 방문해 나프타 수급 안정에 총력을 기울일 것을 당부했다. 석유화학 공급망 위기가 심화되면서 정부가 차질 없는 생산을 독려하는 현장 점검에 나섰으며, 사설에서는 석유화학 산단을 살려야 할 기간산업으로 규정했다. 이란 전쟁 이후 특정 수입 품목 가격이 10배 급등해 한 번 수입에 60억 원에 달한다는 보도가 나왔다. 대통령은 베트남과의 첨단산업 협력을 통해 에너지·원자재 공급망 다변화를 추진하겠다는 방침을 밝혔다.</w:t>
      </w:r>
    </w:p>
    <w:p>
      <w:r>
        <w:br w:type="page"/>
      </w:r>
    </w:p>
    <w:p>
      <w:pPr>
        <w:pStyle w:val="Heading2"/>
      </w:pPr>
      <w:r>
        <w:t>통계 요약</w:t>
      </w:r>
    </w:p>
    <w:tbl>
      <w:tblPr>
        <w:tblStyle w:val="TableGrid"/>
        <w:tblW w:type="auto" w:w="0"/>
        <w:tblLook w:firstColumn="1" w:firstRow="1" w:lastColumn="0" w:lastRow="0" w:noHBand="0" w:noVBand="1" w:val="04A0"/>
      </w:tblPr>
      <w:tblGrid>
        <w:gridCol w:w="2946"/>
        <w:gridCol w:w="2946"/>
        <w:gridCol w:w="2946"/>
      </w:tblGrid>
      <w:tr>
        <w:tc>
          <w:tcPr>
            <w:tcW w:type="dxa" w:w="2946"/>
          </w:tcPr>
          <w:p>
            <w:r>
              <w:rPr>
                <w:b/>
              </w:rPr>
              <w:t>구분</w:t>
            </w:r>
          </w:p>
        </w:tc>
        <w:tc>
          <w:tcPr>
            <w:tcW w:type="dxa" w:w="2946"/>
          </w:tcPr>
          <w:p>
            <w:r>
              <w:rPr>
                <w:b/>
              </w:rPr>
              <w:t>건수</w:t>
            </w:r>
          </w:p>
        </w:tc>
        <w:tc>
          <w:tcPr>
            <w:tcW w:type="dxa" w:w="2946"/>
          </w:tcPr>
          <w:p>
            <w:r>
              <w:rPr>
                <w:b/>
              </w:rPr>
              <w:t>비중</w:t>
            </w:r>
          </w:p>
        </w:tc>
      </w:tr>
      <w:tr>
        <w:tc>
          <w:tcPr>
            <w:tcW w:type="dxa" w:w="2946"/>
          </w:tcPr>
          <w:p>
            <w:r>
              <w:t>총 수집</w:t>
            </w:r>
          </w:p>
        </w:tc>
        <w:tc>
          <w:tcPr>
            <w:tcW w:type="dxa" w:w="2946"/>
          </w:tcPr>
          <w:p>
            <w:r>
              <w:t>2960</w:t>
            </w:r>
          </w:p>
        </w:tc>
        <w:tc>
          <w:tcPr>
            <w:tcW w:type="dxa" w:w="2946"/>
          </w:tcPr>
          <w:p>
            <w:r>
              <w:t>100.0%</w:t>
            </w:r>
          </w:p>
        </w:tc>
      </w:tr>
      <w:tr>
        <w:tc>
          <w:tcPr>
            <w:tcW w:type="dxa" w:w="2946"/>
          </w:tcPr>
          <w:p>
            <w:r>
              <w:t>HIGH</w:t>
            </w:r>
          </w:p>
        </w:tc>
        <w:tc>
          <w:tcPr>
            <w:tcW w:type="dxa" w:w="2946"/>
          </w:tcPr>
          <w:p>
            <w:r>
              <w:t>242</w:t>
            </w:r>
          </w:p>
        </w:tc>
        <w:tc>
          <w:tcPr>
            <w:tcW w:type="dxa" w:w="2946"/>
          </w:tcPr>
          <w:p>
            <w:r>
              <w:t>8.2%</w:t>
            </w:r>
          </w:p>
        </w:tc>
      </w:tr>
      <w:tr>
        <w:tc>
          <w:tcPr>
            <w:tcW w:type="dxa" w:w="2946"/>
          </w:tcPr>
          <w:p>
            <w:r>
              <w:t>MEDIUM</w:t>
            </w:r>
          </w:p>
        </w:tc>
        <w:tc>
          <w:tcPr>
            <w:tcW w:type="dxa" w:w="2946"/>
          </w:tcPr>
          <w:p>
            <w:r>
              <w:t>337</w:t>
            </w:r>
          </w:p>
        </w:tc>
        <w:tc>
          <w:tcPr>
            <w:tcW w:type="dxa" w:w="2946"/>
          </w:tcPr>
          <w:p>
            <w:r>
              <w:t>11.4%</w:t>
            </w:r>
          </w:p>
        </w:tc>
      </w:tr>
      <w:tr>
        <w:tc>
          <w:tcPr>
            <w:tcW w:type="dxa" w:w="2946"/>
          </w:tcPr>
          <w:p>
            <w:r>
              <w:t>LOW</w:t>
            </w:r>
          </w:p>
        </w:tc>
        <w:tc>
          <w:tcPr>
            <w:tcW w:type="dxa" w:w="2946"/>
          </w:tcPr>
          <w:p>
            <w:r>
              <w:t>499</w:t>
            </w:r>
          </w:p>
        </w:tc>
        <w:tc>
          <w:tcPr>
            <w:tcW w:type="dxa" w:w="2946"/>
          </w:tcPr>
          <w:p>
            <w:r>
              <w:t>16.9%</w:t>
            </w:r>
          </w:p>
        </w:tc>
      </w:tr>
      <w:tr>
        <w:tc>
          <w:tcPr>
            <w:tcW w:type="dxa" w:w="2946"/>
          </w:tcPr>
          <w:p>
            <w:r>
              <w:t>NONE</w:t>
            </w:r>
          </w:p>
        </w:tc>
        <w:tc>
          <w:tcPr>
            <w:tcW w:type="dxa" w:w="2946"/>
          </w:tcPr>
          <w:p>
            <w:r>
              <w:t>1882</w:t>
            </w:r>
          </w:p>
        </w:tc>
        <w:tc>
          <w:tcPr>
            <w:tcW w:type="dxa" w:w="2946"/>
          </w:tcPr>
          <w:p>
            <w:r>
              <w:t>63.6%</w:t>
            </w:r>
          </w:p>
        </w:tc>
      </w:tr>
    </w:tbl>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