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2026-09-16</w:t>
      </w:r>
    </w:p>
    <w:p>
      <w:pPr>
        <w:jc w:val="center"/>
      </w:pPr>
      <w:r>
        <w:rPr>
          <w:color w:val="808080"/>
          <w:sz w:val="18"/>
        </w:rPr>
        <w:t>생성 모델: claude-sonnet-4-6  |  HIGH+MEDIUM 605건 (해외 443건 / 국내 162건)</w:t>
      </w:r>
    </w:p>
    <w:p/>
    <w:p>
      <w:pPr>
        <w:pStyle w:val="Heading2"/>
      </w:pPr>
      <w:r>
        <w:t>오늘의 핵심</w:t>
      </w:r>
    </w:p>
    <w:p>
      <w:r>
        <w:t>후티 반군이 사우디아라비아 얀부 아람코 석유시설과 공군기지를 대규모 공격했다고 주장하며[11][12][13][14][15][16][17][18][19][20], 사우디는 메카 인근 드론 요격 후 '레드라인'을 경고했다[5][9]. 사우디는 얀부 파이프라인 피격으로 일부 원유 화물 선적을 취소하고 오만 경유 우회 공급으로 전환했으며[41][43][44][48], 이에 따라 국제유가는 브렌트유 기준 배럴당 108달러 이상으로 급등했다[58][59][67]. 호르무즈 해협 선박 통과량은 하루 4척 수준으로 붕괴된 상태가 지속되고 있으며[28][29][31][32][33], 이란이 미국 계약 선박에 미사일·드론 공격을 가했다는 보고도 나왔다[3]. 중국은 이란에 호르무즈 해협 개방을 압박하기 위해 외교장관을 베이징으로 초청했고[6], 미국 디젤 가격은 사상 최고치를 기록하며 미국인들이 전쟁 발발 이후 146조 원 규모의 추가 연료비를 부담한 것으로 나타났다[53][68][71].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232건</w:t>
            </w:r>
          </w:p>
        </w:tc>
        <w:tc>
          <w:tcPr>
            <w:tcW w:type="dxa" w:w="2209"/>
          </w:tcPr>
          <w:p>
            <w:r>
              <w:t>▲85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107건</w:t>
            </w:r>
          </w:p>
        </w:tc>
        <w:tc>
          <w:tcPr>
            <w:tcW w:type="dxa" w:w="2209"/>
          </w:tcPr>
          <w:p>
            <w:r>
              <w:t>▼69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37건</w:t>
            </w:r>
          </w:p>
        </w:tc>
        <w:tc>
          <w:tcPr>
            <w:tcW w:type="dxa" w:w="2209"/>
          </w:tcPr>
          <w:p>
            <w:r>
              <w:t>▼30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0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오만 살랄라 육상 환적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밀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바브엘만데브 해협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▼14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▼1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▼12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161 / MEDIUM 206)</w:t>
      </w:r>
    </w:p>
    <w:p>
      <w:r>
        <w:rPr>
          <w:b/>
        </w:rPr>
        <w:t>🌐 해외 상황</w:t>
      </w:r>
    </w:p>
    <w:p>
      <w:r>
        <w:t>후티 반군이 홍해 바브엘만데브 해협 방향으로 진격을 확대하며 이스라엘과 역내 교역에 대한 전략적 위협이 커지고 있고[4][8], 예멘 사태가 유엔 안보리에 재상정됐다[1]. 사우디 국방장관은 메카 공격 시도에 대해 마카 협정 이행 시점이 됐다고 경고했으며[2], 사우디는 메카 인근에서 후티 드론을 요격한 후 '레드라인'을 선언했다[5][9]. 이란은 호르무즈 해협 인근에서 미국 계약 선박에 미사일·드론 공격을 가한 것으로 보고됐으며[3], 후티의 급속한 예멘 내 진격이 사우디아라비아와 걸프 지역에 대규모 전략적 위험을 초래하고 있다는 분석이 나왔다[7][10].</w:t>
      </w:r>
    </w:p>
    <w:p>
      <w:r>
        <w:rPr>
          <w:b/>
        </w:rPr>
        <w:t>🇰🇷 국내 영향</w:t>
      </w:r>
    </w:p>
    <w:p>
      <w:r>
        <w:t>후티 반군은 사우디 얀부 아람코 시설과 공군기지를 대규모 타격했다고 주장했으며[11][12][13][16], 얀부는 호르무즈 해협을 우회하는 동서 파이프라인의 핵심 수출 거점이라는 점에서 주목된다[15]. 후티는 메카 공격은 부인하면서도 석유시설 타격을 강조하며 사우디에 '교훈을 안기겠다'고 밝혔다[14]. 사우디-후티 충돌 확산으로 얀부 아람코 시설과 공군기지가 동시에 공격 대상이 됐다는 국내 언론 보도가 집중됐다[18][19][20].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미국 해안경비대와 FBI가 텍사스로 향하던 상업용 원유 유조선 2척에 승선해 사이버 공격 의혹을 조사했다[21][22][23]. 해당 사건은 블룸버그 뉴스를 통해 보고됐으며, 유조선 대상 사이버 공격 가능성이 제기됐다[21].</w:t>
      </w:r>
    </w:p>
    <w:p>
      <w:r>
        <w:rPr>
          <w:b/>
        </w:rPr>
        <w:t>🇰🇷 국내 영향</w:t>
      </w:r>
    </w:p>
    <w:p>
      <w:r>
        <w:t>미 해안경비대·FBI가 사이버 공격 의심 유조선 2척을 조사했다는 사실이 국내에도 보도됐다[24].</w:t>
      </w:r>
    </w:p>
    <w:p>
      <w:pPr>
        <w:pStyle w:val="Heading3"/>
      </w:pPr>
      <w:r>
        <w:t>운임·물류비  (HIGH 12 / MEDIUM 11)</w:t>
      </w:r>
    </w:p>
    <w:p>
      <w:r>
        <w:rPr>
          <w:b/>
        </w:rPr>
        <w:t>🌐 해외 상황</w:t>
      </w:r>
    </w:p>
    <w:p>
      <w:r>
        <w:t>호르무즈 해협 선박 통과량이 하루 4척 수준으로 떨어져 전쟁 이전 대비 극히 낮은 수준을 유지하고 있으며[28][29][31][32][33], 걸프 지역 수출 물량이 호르무즈 봉쇄를 우회해 재편되고 있다[27]. 사우디가 오만을 통해 원유를 추가 공급하면서 원유 가격이 하락하기도 했으나[25][26], 미국 걸프 연안에서 중국으로 향하는 원유 해상 운임은 중동 전쟁 여파로 사상 최고치를 기록했다[34]. 파나마 운하는 엘니뇨로 인해 해상 교통량을 추가 감축할 예정이다[30].</w:t>
      </w:r>
    </w:p>
    <w:p>
      <w:r>
        <w:rPr>
          <w:b/>
        </w:rPr>
        <w:t>🇰🇷 국내 영향</w:t>
      </w:r>
    </w:p>
    <w:p>
      <w:r>
        <w:t>중동 전쟁 여파로 운임이 급등하면서 HMM의 3분기 실적에 대한 기대감이 높아지고 있다[35]. 인천~뉴욕 노선 유류할증료가 354,000원에서 362,600원으로 인상됐으며[37], 뉴욕 왕복 기준 유류할증료가 73만 원 수준으로 다시 상승세를 보이고 있다[38]. 호르무즈 해협을 통과하는 원유 물량은 하루 1,100만 배럴로 집계됐다[36].</w:t>
      </w:r>
    </w:p>
    <w:p>
      <w:pPr>
        <w:pStyle w:val="Heading3"/>
      </w:pPr>
      <w:r>
        <w:t>항만·화물  (HIGH 8 / MEDIUM 6)</w:t>
      </w:r>
    </w:p>
    <w:p>
      <w:r>
        <w:rPr>
          <w:b/>
        </w:rPr>
        <w:t>🌐 해외 상황</w:t>
      </w:r>
    </w:p>
    <w:p>
      <w:r>
        <w:t>사우디아라비아는 파이프라인 피격 이후 유럽 및 일부 지역에 대한 원유 화물 선적을 취소했으며[41][43], 리야드는 공급 교란 규모에 대해 공식 입장을 내놓지 않았다[40]. 사우디는 수일 내 동서 파이프라인의 절반 가량을 복구하는 방안을 추진 중이며[39], 아시아 정유사들에게는 오만 경유 원유를 추가 공급하겠다고 제안했다[44]. 일본 정유사들은 사우디 파이프라인 가동 중단 이후 오만산 원유 확보에 나섰으며[42], 카타르 라스라판 LNG 터미널 선석 공사도 진행 중이다[45].</w:t>
      </w:r>
    </w:p>
    <w:p>
      <w:r>
        <w:rPr>
          <w:b/>
        </w:rPr>
        <w:t>🇰🇷 국내 영향</w:t>
      </w:r>
    </w:p>
    <w:p>
      <w:r>
        <w:t>사우디가 오만을 통한 원유 우회 공급을 확대하면서 국제유가가 1.8% 하락했다[48]. MOL은 호르무즈 해협을 통한 LNG 운송 중단이 장기화될 것으로 예상했다[49]. 포스코는 호주 산토스와 10년 장기 LNG 공급 주요 조건에 합의했다[52]. 울산항 유휴 선석이 조선사 안벽 부족 해소에 활용될 예정이다[51].</w:t>
      </w:r>
    </w:p>
    <w:p>
      <w:pPr>
        <w:pStyle w:val="Heading3"/>
      </w:pPr>
      <w:r>
        <w:t>경제·금융  (HIGH 12 / MEDIUM 95)</w:t>
      </w:r>
    </w:p>
    <w:p>
      <w:r>
        <w:rPr>
          <w:b/>
        </w:rPr>
        <w:t>🌐 해외 상황</w:t>
      </w:r>
    </w:p>
    <w:p>
      <w:r>
        <w:t>국제유가는 얀부 공급 차질과 사우디 화물 취소 소식에 배럴당 3달러 이상 급등했으며[57][61], 브렌트유는 108달러를 돌파했다[58][59]. 미국 디젤 가격은 갤런당 6달러로 사상 최고치를 기록하며 호르무즈 긴장이 트럭 운송 비용을 끌어올리고 있다[53]. 이란과의 전쟁으로 미국이 5개월간 52조 원의 전쟁 비용을 지출했으며 매월 최대 4조 원이 추가로 소요되는 것으로 나타났다[60][70]. FTSE 100은 호르무즈 협상 기대로 유가가 오르면서 소폭 하락했다[55].</w:t>
      </w:r>
    </w:p>
    <w:p>
      <w:r>
        <w:rPr>
          <w:b/>
        </w:rPr>
        <w:t>🇰🇷 국내 영향</w:t>
      </w:r>
    </w:p>
    <w:p>
      <w:r>
        <w:t>후티 반군의 사우디 공격 확대로 유가와 금리가 급등했으며[63], 브렌트유는 108.34달러를 기록하고 미국 원유 재고는 710만 배럴 증가했다[67]. 사우디가 오만 경유 원유 공급을 확대하면서 국제유가가 2%대 하락하기도 했다[66]. 미국인들이 전쟁 발발 이후 146조 원 규모의 추가 연료비를 부담했다는 사실이 국내에도 보도됐다[68][71]. 8월 수입물가는 예상 밖으로 0.7% 상승했으며 반도체 등 AI 관련 품목 가격이 강세를 보였다[72].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참치 공급망이 해상 운임 변동성에 직면해 있으며, 호주 통조림 시장은 부가가치 제품(VAP) 방향으로 전환을 모색하고 있다[73].</w:t>
      </w:r>
    </w:p>
    <w:p>
      <w:pPr>
        <w:pStyle w:val="Heading3"/>
      </w:pPr>
      <w:r>
        <w:t>해운  (HIGH 2 / MEDIUM 17)</w:t>
      </w:r>
    </w:p>
    <w:p>
      <w:r>
        <w:rPr>
          <w:b/>
        </w:rPr>
        <w:t>🌐 해외 상황</w:t>
      </w:r>
    </w:p>
    <w:p>
      <w:r>
        <w:t>컨테이너 선사들이 홍해 리스크 증가에도 불구하고 수에즈 운하 통과를 재개하고 있으며[74], OOCL이 수에즈 운하를 통과한 첫 선박을 보냈다[81]. 머스크는 대형 컨테이너선 대규모 발주를 추진 중인 것으로 알려졌다[76]. 한국 선사가 유럽까지 20일 소요되는 북극 항로에 베팅하고 있으며[83], 중국은 동남아시아로 연결되는 100억 달러 규모의 해운 운하를 개통했다[82]. 한국선급(KR)과 한화오션은 1만8,000㎥급 LNG 벙커링선 공동 개발 MOU를 체결했으며[77], HD현대삼호와 ClassNK도 개정 IGC 코드를 적용한 LNG 운반선 설계 공동 개발 MOU를 체결했다[80].</w:t>
      </w:r>
    </w:p>
    <w:p>
      <w:r>
        <w:rPr>
          <w:b/>
        </w:rPr>
        <w:t>🇰🇷 국내 영향</w:t>
      </w:r>
    </w:p>
    <w:p>
      <w:r>
        <w:t>한국선급이 HD현대중공업의 50K LPG 운반선에 대한 개념승인을 수여했다[84].</w:t>
      </w:r>
    </w:p>
    <w:p>
      <w:pPr>
        <w:pStyle w:val="Heading3"/>
      </w:pPr>
      <w:r>
        <w:t>기타 산업  (HIGH 23 / MEDIUM 47)</w:t>
      </w:r>
    </w:p>
    <w:p>
      <w:r>
        <w:rPr>
          <w:b/>
        </w:rPr>
        <w:t>🌐 해외 상황</w:t>
      </w:r>
    </w:p>
    <w:p>
      <w:r>
        <w:t>사우디 동서 파이프라인 폐쇄로 글로벌 원유 공급의 4%가 위협받고 있으며[91][93], 배럴당 150달러라는 극단적 시나리오도 제기됐다[89]. 사우디는 홍해 터미널 원유 선적을 중단했으며[90], 폴란드 오를렌은 사우디 파이프라인 차질로 대안 원유 확보에 나섰다[88]. 인도 ONGC는 호르무즈 위기로 원유 사업은 수혜를 받는 반면 석유화학 부문은 원료비 급등으로 압박을 받고 있다[86].</w:t>
      </w:r>
    </w:p>
    <w:p>
      <w:r>
        <w:rPr>
          <w:b/>
        </w:rPr>
        <w:t>🇰🇷 국내 영향</w:t>
      </w:r>
    </w:p>
    <w:p>
      <w:r>
        <w:t>국내 석유화학 업계는 중동발 원가 상승과 미국·EU 관세 장벽이 겹치며 타이어 3사를 포함한 하반기 경영 환경이 악화되고 있다[69]. 석유화학 업계는 구조조정 국면에 있으며 배터리 업계는 턴어라운드를 시도하고 있으나 신용도 회복은 어려울 것으로 보인다[99]. 한국과 중앙아시아 국가들은 '서울선언'을 채택하며 핵심광물·에너지 분야 전략적 협력을 강화하기로 했다[104]. 한화파워는 2만2,000㎥급 LNG 벙커링선 개념승인을 획득했다[103].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2764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218</w:t>
            </w:r>
          </w:p>
        </w:tc>
        <w:tc>
          <w:tcPr>
            <w:tcW w:type="dxa" w:w="2946"/>
          </w:tcPr>
          <w:p>
            <w:r>
              <w:t>7.9%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387</w:t>
            </w:r>
          </w:p>
        </w:tc>
        <w:tc>
          <w:tcPr>
            <w:tcW w:type="dxa" w:w="2946"/>
          </w:tcPr>
          <w:p>
            <w:r>
              <w:t>14.0%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543</w:t>
            </w:r>
          </w:p>
        </w:tc>
        <w:tc>
          <w:tcPr>
            <w:tcW w:type="dxa" w:w="2946"/>
          </w:tcPr>
          <w:p>
            <w:r>
              <w:t>19.6%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1616</w:t>
            </w:r>
          </w:p>
        </w:tc>
        <w:tc>
          <w:tcPr>
            <w:tcW w:type="dxa" w:w="2946"/>
          </w:tcPr>
          <w:p>
            <w:r>
              <w:t>58.5%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