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2026-04-24</w:t>
      </w:r>
    </w:p>
    <w:p>
      <w:pPr>
        <w:jc w:val="center"/>
      </w:pPr>
      <w:r>
        <w:rPr>
          <w:color w:val="808080"/>
          <w:sz w:val="18"/>
        </w:rPr>
        <w:t>생성 모델: claude-sonnet-4-6  |  HIGH+MEDIUM 455건 (해외 243건 / 국내 212건)</w:t>
      </w:r>
    </w:p>
    <w:p/>
    <w:p>
      <w:pPr>
        <w:pStyle w:val="Heading2"/>
      </w:pPr>
      <w:r>
        <w:t>오늘의 핵심</w:t>
      </w:r>
    </w:p>
    <w:p>
      <w:r>
        <w:t>미국이 이란산 원유를 취급한 중국 소재 정유소 1곳과 선사 40곳에 제재를 부과하며 대이란 압박을 강화하고 있으며[1][2], 헤그세스 미 국방장관은 호르무즈 봉쇄를 더욱 확대하고 유럽·아시아 동맹국의 무임승차가 끝났다고 선언했다[14][18]. 이란이 호르무즈 해협에 기뢰를 추가 부설하고 있다는 보도가 나오는 가운데[7][15], 미군은 기뢰 부설 이란 선박에 대한 사격 명령을 내렸고 항모 3번째 전단이 투입된 것으로 전해진다[10]. 브렌트유는 미·이란 긴장 고조로 배럴당 106달러를 돌파했으며[60][61], 국제유가는 나흘째 급등세를 이어갔다[71]. 한국 청와대는 5월 원유 도입량을 전년 월평균의 87% 수준인 7,462만 배럴 확보했다고 밝혔으며[48][50], 중동 의존도를 13%포인트 낮췄다고 발표했다[51][55]. SCFI는 1,875.26으로 2주 연속 하락했고[41], 중동 해운운임은 2주째 하락해 4,000달러 아래로 내려갔다[42].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81 / MEDIUM 155)</w:t>
      </w:r>
    </w:p>
    <w:p>
      <w:r>
        <w:rPr>
          <w:b/>
        </w:rPr>
        <w:t>🌐 해외 상황</w:t>
      </w:r>
    </w:p>
    <w:p>
      <w:r>
        <w:t>미국은 이란산 원유를 취급한 중국 소재 정유소 1곳과 선사 40곳에 제재를 부과했다[1][2][3]. 헤그세스 미 국방장관은 대이란 해상봉쇄가 글로벌로 확대되고 있다고 밝히며 유럽·아시아 동맹국의 역할 분담을 요구했고[8][14], 미국은 봉쇄로 인해 유조선 34척이 회항했다고 밝혔다[19]. 이란이 호르무즈 해협에 기뢰를 추가 부설하고 있다는 보도가 나왔으며[7], 미군은 기뢰 부설 이란 선박에 대한 사격 명령을 내렸고 항모 3번째 전단이 투입된 것으로 전해진다[10]. 트럼프 대통령은 호르무즈 해협을 자신이 봉쇄 상태로 유지하고 있다고 발언해 동맹국들을 놀라게 했으며[9], 미국은 협상 주도권이 이란에 있으나 시간은 이란 편이 아니라는 입장을 밝혔다[6]. 미국은 인도양에서 이란 연계 유조선을 추가 나포했다[20].</w:t>
      </w:r>
    </w:p>
    <w:p>
      <w:r>
        <w:rPr>
          <w:b/>
        </w:rPr>
        <w:t>🇰🇷 국내 영향</w:t>
      </w:r>
    </w:p>
    <w:p>
      <w:r>
        <w:t>헤그세스 미 국방장관은 호르무즈 안보에서 동맹국의 역할을 촉구하며 무임승차가 끝났다고 선언해 한국에도 파병 요구가 전달된 것으로 보인다[11][18]. 미국은 봉쇄 강화와 함께 이란의 핵 포기를 압박하고 있으며, 이란이 합의하지 않으면 경제 붕괴에 직면할 것이라고 경고했다[16][17]. 이재명 대통령은 인도·베트남 방문에서 공급망 불안정 속 협력 강화 방안 3가지를 제안했다[12][68][69].</w:t>
      </w:r>
    </w:p>
    <w:p>
      <w:pPr>
        <w:pStyle w:val="Heading3"/>
      </w:pPr>
      <w:r>
        <w:t>해양안전  (HIGH 1 / MEDIUM 5)</w:t>
      </w:r>
    </w:p>
    <w:p>
      <w:r>
        <w:rPr>
          <w:b/>
        </w:rPr>
        <w:t>🌐 해외 상황</w:t>
      </w:r>
    </w:p>
    <w:p>
      <w:r>
        <w:t>이란군의 공격을 받은 외국 선박 2척에 탑승한 인도 선원 22명 전원이 안전하다고 인도 해운부가 확인했다[21]. 라자스탄 출신 선원 1명이 호르무즈 해협에 억류된 상태로 가족과 연락이 두절됐다[24]. 러시아 유조선 구조 작업이 실패했다는 보도가 나왔으며, 이는 새로운 해양 위험 시대를 상징하는 사건으로 평가됐다[26]. IMO MEPC 84 회의가 개막해 지연된 해운 기후 협약의 핵심 시험대가 됐으며[22], EU는 글로벌 해운 탄소 가격제 도입을 재추진하며 미국과의 IMO 충돌이 예상된다[23].</w:t>
      </w:r>
    </w:p>
    <w:p>
      <w:pPr>
        <w:pStyle w:val="Heading3"/>
      </w:pPr>
      <w:r>
        <w:t>운임·물류비  (HIGH 4 / MEDIUM 13)</w:t>
      </w:r>
    </w:p>
    <w:p>
      <w:r>
        <w:rPr>
          <w:b/>
        </w:rPr>
        <w:t>🌐 해외 상황</w:t>
      </w:r>
    </w:p>
    <w:p>
      <w:r>
        <w:t>이란은 러시아 선박에 대해 호르무즈 통행료를 면제하기로 했다고 이란 대사가 밝혔다[27]. 파나마 운하를 통한 우회 비용이 최대 400만 달러에 달하는 것으로 보도됐으며[28], 파나마 운하 통과 선박 수는 2026 회계연도 상반기 기준 6,288척으로 증가했다[31]. 아시아-유럽 컨테이너 운임에서 이란 분쟁 프리미엄이 약화되는 흐름이 나타났다[29]. 인도네시아는 말라카 해협 통과 선박에 통행료를 부과하지 않겠다고 밝혔다[32].</w:t>
      </w:r>
    </w:p>
    <w:p>
      <w:r>
        <w:rPr>
          <w:b/>
        </w:rPr>
        <w:t>🇰🇷 국내 영향</w:t>
      </w:r>
    </w:p>
    <w:p>
      <w:r>
        <w:t>이란은 호르무즈 통행료를 처음으로 중앙은행에 예치하며 해협 통제를 제도화하는 움직임을 보이고 있다[37]. 이란은 통행료가 현금으로 납부돼야 하며 암호화폐는 불가하다고 밝혔다[39]. SCFI는 1,875.26으로 2주 연속 하락했으며[41], 중동 해운운임은 2주째 하락해 4,000달러 아래로 내려갔다[42]. 국내선 항공 할증료가 4배 상승해 제주 관광업이 타격을 받고 있으며[40], 유류할증료 상한 규정으로 여객선 업계의 부담이 가중되고 있다[43].</w:t>
      </w:r>
    </w:p>
    <w:p>
      <w:pPr>
        <w:pStyle w:val="Heading3"/>
      </w:pPr>
      <w:r>
        <w:t>항만·화물  (HIGH 8 / MEDIUM 12)</w:t>
      </w:r>
    </w:p>
    <w:p>
      <w:r>
        <w:rPr>
          <w:b/>
        </w:rPr>
        <w:t>🌐 해외 상황</w:t>
      </w:r>
    </w:p>
    <w:p>
      <w:r>
        <w:t>일본은 5월 1일부터 20일치 추가 석유 비축분을 방출하기로 했다[44].</w:t>
      </w:r>
    </w:p>
    <w:p>
      <w:r>
        <w:rPr>
          <w:b/>
        </w:rPr>
        <w:t>🇰🇷 국내 영향</w:t>
      </w:r>
    </w:p>
    <w:p>
      <w:r>
        <w:t>청와대는 5월 원유 도입량으로 전년 월평균의 87% 수준인 7,462만 배럴을 확보했다고 밝혔다[48][49][52]. 중동 의존도를 13%포인트 낮추는 방식으로 대체 물량을 확보했으며[51][55], 원유 수급에 대해 크게 우려하지 않아도 된다는 입장을 밝혔다[50]. 비닐 등 포장재 수급도 문제없다고 청와대는 설명했다[56].</w:t>
      </w:r>
    </w:p>
    <w:p>
      <w:pPr>
        <w:pStyle w:val="Heading3"/>
      </w:pPr>
      <w:r>
        <w:t>경제·금융  (HIGH 5 / MEDIUM 117)</w:t>
      </w:r>
    </w:p>
    <w:p>
      <w:r>
        <w:rPr>
          <w:b/>
        </w:rPr>
        <w:t>🌐 해외 상황</w:t>
      </w:r>
    </w:p>
    <w:p>
      <w:r>
        <w:t>브렌트유는 미·이란 긴장 고조로 배럴당 106달러를 돌파했으며[60], 유가는 5% 급등해 배럴당 106달러에 달했다[61]. 이란 분쟁 장기화로 가스 가격이 재차 상승하고 있으며 유가는 100달러 이상을 유지하고 있다[66]. 골드만삭스는 석유 시장의 영구적 피해 가능성에 대해 경고했다[58]. LNG 가격 급등으로 관련 기업들의 성장 기회가 부각되고 있으며[65], 독일의 4월 Ifo 경기지수는 84.4로 1.9포인트 하락해 6년래 최저치를 기록했다[76].</w:t>
      </w:r>
    </w:p>
    <w:p>
      <w:r>
        <w:rPr>
          <w:b/>
        </w:rPr>
        <w:t>🇰🇷 국내 영향</w:t>
      </w:r>
    </w:p>
    <w:p>
      <w:r>
        <w:t>서울 증시는 중동 긴장 속에 숨 고르기 양상을 보였으며[70], 달러-원 환율은 뉴욕 시장에서 1,470원 후반대에서 거래됐다[73]. 경유 가격이 3년 9개월 만에 2,000원을 돌파했으며[74], 국제유가는 나흘째 급등세를 이어갔다[71]. 인천시는 중동발 물가 충격에 대응해 민생 추경을 원포인트로 통과시켰다[77].</w:t>
      </w:r>
    </w:p>
    <w:p>
      <w:pPr>
        <w:pStyle w:val="Heading3"/>
      </w:pPr>
      <w:r>
        <w:t>해운  (HIGH 3 / MEDIUM 7)</w:t>
      </w:r>
    </w:p>
    <w:p>
      <w:r>
        <w:rPr>
          <w:b/>
        </w:rPr>
        <w:t>🌐 해외 상황</w:t>
      </w:r>
    </w:p>
    <w:p>
      <w:r>
        <w:t>호르무즈 해협을 통과한 선박이 24시간 기준 5척에 불과한 것으로 보도됐다[78]. 말레이시아는 이란과 억류된 유조선 2척에 대한 제한 해제 협상을 진행 중이다[79]. 이란 유조선들이 미 해군 봉쇄를 피해 이동하고 있다는 보고가 나왔으며 휴전은 유지되고 있는 것으로 전해진다[80].</w:t>
      </w:r>
    </w:p>
    <w:p>
      <w:r>
        <w:rPr>
          <w:b/>
        </w:rPr>
        <w:t>🇰🇷 국내 영향</w:t>
      </w:r>
    </w:p>
    <w:p>
      <w:r>
        <w:t>HMM은 2년간 결산배당으로 1조 1,900억 원을 지급했으며, 산업은행과 해양진흥공사가 공적자금을 회수한 것으로 보인다[82]. HD현대마린솔루션은 1분기 매출 5,746억 원, 영업이익 934억 원을 기록해 전년 대비 12.5% 증가했다[83][85]. 북극항로 참여 선사 공모가 27일부터 시작되며 9월 운항을 목표로 하고 있고[86], 북극항로 특별법이 국회 상임위를 통과했다[87].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물류 차질로 CU 편의점 점주들이 상품 부족으로 판매에 어려움을 겪고 있다[88].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🌐 해외 상황</w:t>
      </w:r>
    </w:p>
    <w:p>
      <w:r>
        <w:t>파키스탄 항만은 호르무즈 긴장 속에서도 하루 17만 9,335톤의 화물을 처리했다[89].</w:t>
      </w:r>
    </w:p>
    <w:p>
      <w:pPr>
        <w:pStyle w:val="Heading3"/>
      </w:pPr>
      <w:r>
        <w:t>기타 산업  (HIGH 6 / MEDIUM 36)</w:t>
      </w:r>
    </w:p>
    <w:p>
      <w:r>
        <w:rPr>
          <w:b/>
        </w:rPr>
        <w:t>🌐 해외 상황</w:t>
      </w:r>
    </w:p>
    <w:p>
      <w:r>
        <w:t>IEA는 서아시아 분쟁으로 2026~2030년 LNG 공급이 최대 120bcm 손실될 수 있다고 밝혔다[90]. 아시아 정유사들이 이란 전쟁 여파로 정제 물량을 줄이면서 디젤·항공유 공급 위험이 커지고 있다[91]. 파키스탄은 전력 유지를 위해 140% 높은 가격에 LNG를 긴급 구매했다[98]. 비료 공급 차질에 대한 우려가 고조되고 있으며[97], 패스트패션 산업도 호르무즈 원유 공급 차질의 영향을 피하기 어렵다는 분석이 나왔다[96].</w:t>
      </w:r>
    </w:p>
    <w:p>
      <w:r>
        <w:rPr>
          <w:b/>
        </w:rPr>
        <w:t>🇰🇷 국내 영향</w:t>
      </w:r>
    </w:p>
    <w:p>
      <w:r>
        <w:t>IEA는 LNG 공급 쇼크가 내년까지 지속될 것이라고 경고했다[100]. KCC는 중동발 원가 충격으로 가격을 인상했다가 철회했으며, 원재료 수급이 60% 수준으로 떨어진 이중고를 겪고 있다[101]. 정부는 식품 포장재 수급 점검에 나서며 공포심리에 의한 가수요 차단에 나섰다[102][103]. 주사기 매점매석 업체 32곳이 적발됐으며[106], 포스코퓨처엠은 베트남에 해외 첫 음극재 공장을 건설해 탈중국 공급망 다변화에 나선다[107][108]. 캐나다는 천연가스 수송관 확장 건설을 승인해 아시아 LNG 수출 확대가 기대된다[109].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2957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108</w:t>
            </w:r>
          </w:p>
        </w:tc>
        <w:tc>
          <w:tcPr>
            <w:tcW w:type="dxa" w:w="2946"/>
          </w:tcPr>
          <w:p>
            <w:r>
              <w:t>3.7%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347</w:t>
            </w:r>
          </w:p>
        </w:tc>
        <w:tc>
          <w:tcPr>
            <w:tcW w:type="dxa" w:w="2946"/>
          </w:tcPr>
          <w:p>
            <w:r>
              <w:t>11.7%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472</w:t>
            </w:r>
          </w:p>
        </w:tc>
        <w:tc>
          <w:tcPr>
            <w:tcW w:type="dxa" w:w="2946"/>
          </w:tcPr>
          <w:p>
            <w:r>
              <w:t>16.0%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2030</w:t>
            </w:r>
          </w:p>
        </w:tc>
        <w:tc>
          <w:tcPr>
            <w:tcW w:type="dxa" w:w="2946"/>
          </w:tcPr>
          <w:p>
            <w:r>
              <w:t>68.7%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