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해상 공급망 모니터링 일일 분석 — 2026-04-21</w:t>
      </w:r>
    </w:p>
    <w:p>
      <w:pPr>
        <w:jc w:val="center"/>
      </w:pPr>
      <w:r>
        <w:rPr>
          <w:color w:val="808080"/>
          <w:sz w:val="18"/>
        </w:rPr>
        <w:t>생성 모델: claude-sonnet-4-6  |  HIGH+MEDIUM 561건 (해외 272건 / 국내 289건)</w:t>
      </w:r>
    </w:p>
    <w:p/>
    <w:p>
      <w:pPr>
        <w:pStyle w:val="Heading2"/>
      </w:pPr>
      <w:r>
        <w:t>오늘의 핵심</w:t>
      </w:r>
    </w:p>
    <w:p>
      <w:r>
        <w:t>미군이 호르무즈 해협 봉쇄 이후 27척을 회항시키고 인도양 벵골만에서 이란 연계 유조선 M/T Tifani를 나포하는 등 봉쇄 범위가 인도태평양 공해까지 확대됐다. 시진핑 주석이 처음으로 호르무즈 해협 재개방을 촉구했고, IEA는 호르무즈 해협이 '신뢰 가능한 에너지 항로 지위를 상실했다'고 선언했다. 국제유가는 WTI 기준 7% 급등했으며, Brent는 90달러를 상회했고, Citi는 봉쇄가 한 달 더 지속될 경우 유가가 110달러에 달할 것으로 전망했다. 국내에서는 해운 할증료가 5배 폭등하고, 호르무즈에 묶인 중고차만 2만 대에 달하며, 중소 선사들의 줄도산 위기가 보도됐다. 쿠웨이트가 원유 수출 불가항력을 선언한 가운데, 한국 석유공사는 비축유 스와프 현장 점검에 나섰고 캐나다산 원유 무관세 수입이 본격화됐다. 이란이 말라카 해협을 다음 위협 대상으로 시사했다는 단독 보도가 나오며 공급망 위기의 추가 확산 가능성이 제기됐다.</w:t>
      </w:r>
    </w:p>
    <w:p/>
    <w:p>
      <w:pPr>
        <w:pStyle w:val="Heading2"/>
      </w:pPr>
      <w:r>
        <w:t>카테고리별 분석</w:t>
      </w:r>
    </w:p>
    <w:p>
      <w:pPr>
        <w:pStyle w:val="Heading3"/>
      </w:pPr>
      <w:r>
        <w:t>안보·군사  (HIGH 94 / MEDIUM 239)</w:t>
      </w:r>
    </w:p>
    <w:p>
      <w:r>
        <w:rPr>
          <w:b/>
        </w:rPr>
        <w:t>🌐 해외 상황</w:t>
      </w:r>
    </w:p>
    <w:p>
      <w:r>
        <w:t>미군 중부사령부(CENTCOM)는 호르무즈 해협 봉쇄 이후 28척에 회항을 지시했으며, 인도양 벵골만에서 이란 연계 유조선 M/T Tifani를 나포했다. 미군은 제재 대상 선박에 무력 충돌 없이 승선했다고 밝혔다. 이란은 자국 유조선 1척이 미국의 봉쇄를 뚫고 영해에 진입했다고 주장하며 나포에 항의 서한을 발송했다. 시진핑 주석이 처음으로 호르무즈 해협 재개방을 촉구했으며, 이란의 호르무즈 통제권이 협상 카드로 활용되며 걸프 지역에 공황이 확산되고 있다는 보도가 나왔다. 미국과 이란 간 2차 종전협상을 앞두고 긴장이 최고조에 달했으며, 미국의 정책 대응이 현장 상황을 따라가지 못하고 있다는 비판도 제기됐다.</w:t>
      </w:r>
    </w:p>
    <w:p>
      <w:r>
        <w:rPr>
          <w:b/>
        </w:rPr>
        <w:t>🇰🇷 국내 영향</w:t>
      </w:r>
    </w:p>
    <w:p>
      <w:r>
        <w:t>한국 선박 20여 척이 호르무즈 해협 입구까지 이동해 종전협상과 통항 재개를 대기 중인 것으로 보도됐다. 협상 기대감에 해협 출구로 선박들이 집결하는 모습이 포착됐다. 이란이 말라카 해협을 다음 위협 대상으로 시사했다는 단독 보도가 나와, 한국의 주요 수입 항로에 대한 추가 위협 가능성이 제기됐다. 미군이 인도태평양 공해까지 봉쇄 범위를 확대함에 따라 한국 선사들의 운항 경로 선택에도 영향이 불가피한 것으로 보인다.</w:t>
      </w:r>
    </w:p>
    <w:p>
      <w:pPr>
        <w:pStyle w:val="Heading3"/>
      </w:pPr>
      <w:r>
        <w:t>해양안전  (HIGH 0 / MEDIUM 5)</w:t>
      </w:r>
    </w:p>
    <w:p>
      <w:r>
        <w:rPr>
          <w:b/>
        </w:rPr>
        <w:t>🌐 해외 상황</w:t>
      </w:r>
    </w:p>
    <w:p>
      <w:r>
        <w:t>인도 해운부는 걸프 지역 인도 선원 2,590명 이상을 본국으로 송환했으며 현재 안전하다고 밝혔다. 인도는 호르무즈 발포 사건 이후 자국 선박 안전 점검에 착수했다. 호르무즈 해협에 발이 묶인 선박들을 대상으로 암호화폐를 요구하는 사기 사건이 발생했다는 보고도 나왔다.</w:t>
      </w:r>
    </w:p>
    <w:p>
      <w:r>
        <w:rPr>
          <w:b/>
        </w:rPr>
        <w:t>🇰🇷 국내 영향</w:t>
      </w:r>
    </w:p>
    <w:p>
      <w:r>
        <w:t>국내에서는 국제여객선 안전점검 확대 방침이 발표됐으며, 국민이 직접 국제여객선 안전을 점검하는 방안이 추진되고 있다. 이는 호르무즈 위기와 직접 연관된 조치인지는 기사 제목만으로 특정하기 어려우나, 해상 안전 강화 기조가 확산되는 맥락으로 보인다.</w:t>
      </w:r>
    </w:p>
    <w:p>
      <w:pPr>
        <w:pStyle w:val="Heading3"/>
      </w:pPr>
      <w:r>
        <w:t>운임·물류비  (HIGH 4 / MEDIUM 6)</w:t>
      </w:r>
    </w:p>
    <w:p>
      <w:r>
        <w:rPr>
          <w:b/>
        </w:rPr>
        <w:t>🌐 해외 상황</w:t>
      </w:r>
    </w:p>
    <w:p>
      <w:r>
        <w:t>걸프 국가들이 호르무즈 우회 인프라 확충에 속도를 내고 있으며, 유럽·대서양 원유 탱커 운임은 전쟁 이전 수준으로 회귀했다. 발틱거래소(Baltic Exchange)는 중동 벤치마크 산정 방법론 개정을 검토 중이다. 호르무즈 해협 통과 관련 허위 수수료를 요구하는 사기 행위도 보고됐다.</w:t>
      </w:r>
    </w:p>
    <w:p>
      <w:r>
        <w:rPr>
          <w:b/>
        </w:rPr>
        <w:t>🇰🇷 국내 영향</w:t>
      </w:r>
    </w:p>
    <w:p>
      <w:r>
        <w:t>호르무즈 봉쇄 50일이 넘으면서 인천항에 중고차 2만 대가 묶여 있다. 해운 할증료가 5배 폭등했으며, 약 6개월의 시차를 두고 하반기 물가를 압박할 것이라는 전망이 나왔다. 컨테이너 운임은 휴전 기대감에 상승세가 다소 주춤했으나 리스크는 여전하다는 평가다. WTI 유가가 7% 급등하며 기름값 상승 우려도 재부상했다.</w:t>
      </w:r>
    </w:p>
    <w:p>
      <w:pPr>
        <w:pStyle w:val="Heading3"/>
      </w:pPr>
      <w:r>
        <w:t>항만·화물  (HIGH 9 / MEDIUM 10)</w:t>
      </w:r>
    </w:p>
    <w:p>
      <w:r>
        <w:rPr>
          <w:b/>
        </w:rPr>
        <w:t>🌐 해외 상황</w:t>
      </w:r>
    </w:p>
    <w:p>
      <w:r>
        <w:t>사우디아라비아 얀부항의 원유 선적량이 전주 대비 17% 감소했다. 방글라데시에는 원유 및 디젤·옥탄 연료가 도착했으며, 베트남에서는 AG&amp;P LNG가 카이멥 LNG 터미널 지분을 100%로 확대할 계획이다. 우크라이나에서는 러시아의 지속적인 포격으로 Nibulon이 2개 터미널 운영을 중단했다.</w:t>
      </w:r>
    </w:p>
    <w:p>
      <w:r>
        <w:rPr>
          <w:b/>
        </w:rPr>
        <w:t>🇰🇷 국내 영향</w:t>
      </w:r>
    </w:p>
    <w:p>
      <w:r>
        <w:t>쿠웨이트가 원유 수출에 대해 불가항력을 선언했으나 국내 영향은 제한적이라는 평가가 나왔다. 한국 석유공사 손주석 사장이 비축유 스와프 현장을 점검하며 무결점 공급 태세를 강조했다. 미국과 일본이 한국산 휘발유·항공유 공급을 요청했다는 단독 보도가 나왔으며, 캐나다산 원유 무관세 수입이 본격화되며 에너지 수입선 다변화가 추진되고 있다. 인천항은 중동 항로 차단으로 비상 상황에 처해 중고차 수출 지원책을 가동했다.</w:t>
      </w:r>
    </w:p>
    <w:p>
      <w:pPr>
        <w:pStyle w:val="Heading3"/>
      </w:pPr>
      <w:r>
        <w:t>경제·금융  (HIGH 7 / MEDIUM 100)</w:t>
      </w:r>
    </w:p>
    <w:p>
      <w:r>
        <w:rPr>
          <w:b/>
        </w:rPr>
        <w:t>🌐 해외 상황</w:t>
      </w:r>
    </w:p>
    <w:p>
      <w:r>
        <w:t>Brent 원유가 90달러를 상회했으며, 인도 석유부는 원유 가격이 63달러에서 116달러로 급등했다고 밝혔다. Citi는 호르무즈 봉쇄가 한 달 더 지속될 경우 유가가 110달러에 달할 것으로 전망했다. 반면 일부에서는 유가 급등이 정점을 지나 WTI가 75달러까지 하락할 수 있다는 전망도 제기됐다. 미국 달러화는 이란 휴전 불확실성 속에 강세를 보였으며, 제러미 그랜섬은 오일 쇼크가 '고통스러운' 결과를 초래할 것이라고 경고했다.</w:t>
      </w:r>
    </w:p>
    <w:p>
      <w:r>
        <w:rPr>
          <w:b/>
        </w:rPr>
        <w:t>🇰🇷 국내 영향</w:t>
      </w:r>
    </w:p>
    <w:p>
      <w:r>
        <w:t>서울 증시는 미-이란 휴전 협상 기대감에 강세로 출발했으며, KOSPI는 중동 위기 속에서도 신고점을 향한 흐름이 보도됐다. 신임 한국은행 총재는 중동 리스크를 언급하며 '유연한' 통화정책을 천명했다. 정부는 유가 급등에 대응해 최고가격제와 비축유 방출을 검토 중이며, 트럼프 대통령은 한국전쟁 당시 법률을 발동해 유가 안정을 시도했다는 보도가 나왔다. 한-미 핵심광물 협력 프레임워크가 최종 타결됐다는 소식도 전해졌다.</w:t>
      </w:r>
    </w:p>
    <w:p>
      <w:pPr>
        <w:pStyle w:val="Heading3"/>
      </w:pPr>
      <w:r>
        <w:t>수산물  (HIGH 0 / MEDIUM 4)</w:t>
      </w:r>
    </w:p>
    <w:p>
      <w:r>
        <w:rPr>
          <w:b/>
        </w:rPr>
        <w:t>🌐 해외 상황</w:t>
      </w:r>
    </w:p>
    <w:p>
      <w:r>
        <w:t>바르셀로나 시푸드 엑스포 글로벌에서 연료비 급등과 관세 문제가 주요 의제로 부상했다.</w:t>
      </w:r>
    </w:p>
    <w:p>
      <w:r>
        <w:rPr>
          <w:b/>
        </w:rPr>
        <w:t>🇰🇷 국내 영향</w:t>
      </w:r>
    </w:p>
    <w:p>
      <w:r>
        <w:t>포항시가 라오스와 계절근로자 협약을 체결해 수산업 인력난 해소에 나섰으며, 수산가공 분야 외국인 계절근로자 확대와 라오스와의 공급망 구축이 추진되고 있다.</w:t>
      </w:r>
    </w:p>
    <w:p>
      <w:pPr>
        <w:pStyle w:val="Heading3"/>
      </w:pPr>
      <w:r>
        <w:t>해운  (HIGH 10 / MEDIUM 13)</w:t>
      </w:r>
    </w:p>
    <w:p>
      <w:r>
        <w:rPr>
          <w:b/>
        </w:rPr>
        <w:t>🌐 해외 상황</w:t>
      </w:r>
    </w:p>
    <w:p>
      <w:r>
        <w:t>인도네시아 해군은 미 군함이 이란 전쟁 우려 속에 말라카 해협을 통과했다고 확인했다. 이란 선박을 포함한 선박 3척이 호르무즈 통과를 시도했다. 인도와 한국은 해운·해양물류 협력 강화 방안을 논의했으며, HD현대와 Anduril이 자율수상함 생산 파트너십을 확대했다.</w:t>
      </w:r>
    </w:p>
    <w:p>
      <w:r>
        <w:rPr>
          <w:b/>
        </w:rPr>
        <w:t>🇰🇷 국내 영향</w:t>
      </w:r>
    </w:p>
    <w:p>
      <w:r>
        <w:t>한국 선박 20여 척이 호르무즈 해협 입구에서 종전협상 결과를 대기 중이다. 미 중부사령부가 봉쇄 이후 27척 회항을 공식 확인했다. 광양항에는 아시아-북미 원양항로가 신규 취항했으며, 세계 3위 선사 CMA CGM의 신규 컨테이너 정기선도 유치했다. BNK부산은행은 국내 최초 선박 에스크로 에이전트 서비스를 도입했다.</w:t>
      </w:r>
    </w:p>
    <w:p>
      <w:pPr>
        <w:pStyle w:val="Heading3"/>
      </w:pPr>
      <w:r>
        <w:t>물류  (HIGH 1 / MEDIUM 6)</w:t>
      </w:r>
    </w:p>
    <w:p>
      <w:r>
        <w:rPr>
          <w:b/>
        </w:rPr>
        <w:t>🇰🇷 국내 영향</w:t>
      </w:r>
    </w:p>
    <w:p>
      <w:r>
        <w:t>호르무즈에 갇힌 중소 선사들이 수십억 원의 손실을 호소하며 줄도산 위기에 처했다는 보도가 나왔다. 화물연대는 조합원 사망 사건으로 투쟁을 격화하며 물류난 확산 우려가 제기됐다. CU 점주협의회는 물류 대란으로 본사에 피해 구제를 요청하는 호소문을 발표했다. 정부는 농식품 수출업체 600여 곳에 물류비를 지원하기로 했다.</w:t>
      </w:r>
    </w:p>
    <w:p>
      <w:pPr>
        <w:pStyle w:val="Heading3"/>
      </w:pPr>
      <w:r>
        <w:t>기타 산업  (HIGH 9 / MEDIUM 44)</w:t>
      </w:r>
    </w:p>
    <w:p>
      <w:r>
        <w:rPr>
          <w:b/>
        </w:rPr>
        <w:t>🌐 해외 상황</w:t>
      </w:r>
    </w:p>
    <w:p>
      <w:r>
        <w:t>IEA는 현재의 에너지 위기를 역사상 최대 규모로 규정했다. UN 식량농업기구는 이란 전쟁이 세계 식량 위기로 이어질 수 있다고 경고했다. 미국 유타주 농가는 이란 전쟁으로 인한 비료 비용 급등으로 경제적 압박을 받고 있으며, 밀 선물 가격도 이란 협상 결과에 촉각을 곤두세우며 변동성을 보이고 있다. 루프트한자는 항공편을 대폭 축소했으나 향후 수 주간 연료 공급은 확보했다고 밝혔다.</w:t>
      </w:r>
    </w:p>
    <w:p>
      <w:r>
        <w:rPr>
          <w:b/>
        </w:rPr>
        <w:t>🇰🇷 국내 영향</w:t>
      </w:r>
    </w:p>
    <w:p>
      <w:r>
        <w:t>한국과 인도가 나프타 수급 협력 강화에 합의하며 공급 위기에 처한 석유화학 업계가 반색했다. 호르무즈 봉쇄로 항공유 공급에 차질이 빚어지며 여름 휴가철 운항 대란이 현실화될 수 있다는 우려가 제기됐다. 요소 가격 급등으로 비료값이 뛰고 있으며, 중동발 비료 위기를 가축분뇨로 대응하려는 움직임도 나타났다. 고유가 부담 속에 농사를 시작하는 농가의 어려움도 보도됐다.</w:t>
      </w:r>
    </w:p>
    <w:p>
      <w:r>
        <w:br w:type="page"/>
      </w:r>
    </w:p>
    <w:p>
      <w:pPr>
        <w:pStyle w:val="Heading2"/>
      </w:pPr>
      <w:r>
        <w:t>통계 요약</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rPr>
              <w:t>구분</w:t>
            </w:r>
          </w:p>
        </w:tc>
        <w:tc>
          <w:tcPr>
            <w:tcW w:type="dxa" w:w="2946"/>
          </w:tcPr>
          <w:p>
            <w:r>
              <w:rPr>
                <w:b/>
              </w:rPr>
              <w:t>건수</w:t>
            </w:r>
          </w:p>
        </w:tc>
        <w:tc>
          <w:tcPr>
            <w:tcW w:type="dxa" w:w="2946"/>
          </w:tcPr>
          <w:p>
            <w:r>
              <w:rPr>
                <w:b/>
              </w:rPr>
              <w:t>비중</w:t>
            </w:r>
          </w:p>
        </w:tc>
      </w:tr>
      <w:tr>
        <w:tc>
          <w:tcPr>
            <w:tcW w:type="dxa" w:w="2946"/>
          </w:tcPr>
          <w:p>
            <w:r>
              <w:t>총 수집</w:t>
            </w:r>
          </w:p>
        </w:tc>
        <w:tc>
          <w:tcPr>
            <w:tcW w:type="dxa" w:w="2946"/>
          </w:tcPr>
          <w:p>
            <w:r>
              <w:t>2966</w:t>
            </w:r>
          </w:p>
        </w:tc>
        <w:tc>
          <w:tcPr>
            <w:tcW w:type="dxa" w:w="2946"/>
          </w:tcPr>
          <w:p>
            <w:r>
              <w:t>100.0%</w:t>
            </w:r>
          </w:p>
        </w:tc>
      </w:tr>
      <w:tr>
        <w:tc>
          <w:tcPr>
            <w:tcW w:type="dxa" w:w="2946"/>
          </w:tcPr>
          <w:p>
            <w:r>
              <w:t>HIGH</w:t>
            </w:r>
          </w:p>
        </w:tc>
        <w:tc>
          <w:tcPr>
            <w:tcW w:type="dxa" w:w="2946"/>
          </w:tcPr>
          <w:p>
            <w:r>
              <w:t>134</w:t>
            </w:r>
          </w:p>
        </w:tc>
        <w:tc>
          <w:tcPr>
            <w:tcW w:type="dxa" w:w="2946"/>
          </w:tcPr>
          <w:p>
            <w:r>
              <w:t>4.5%</w:t>
            </w:r>
          </w:p>
        </w:tc>
      </w:tr>
      <w:tr>
        <w:tc>
          <w:tcPr>
            <w:tcW w:type="dxa" w:w="2946"/>
          </w:tcPr>
          <w:p>
            <w:r>
              <w:t>MEDIUM</w:t>
            </w:r>
          </w:p>
        </w:tc>
        <w:tc>
          <w:tcPr>
            <w:tcW w:type="dxa" w:w="2946"/>
          </w:tcPr>
          <w:p>
            <w:r>
              <w:t>427</w:t>
            </w:r>
          </w:p>
        </w:tc>
        <w:tc>
          <w:tcPr>
            <w:tcW w:type="dxa" w:w="2946"/>
          </w:tcPr>
          <w:p>
            <w:r>
              <w:t>14.4%</w:t>
            </w:r>
          </w:p>
        </w:tc>
      </w:tr>
      <w:tr>
        <w:tc>
          <w:tcPr>
            <w:tcW w:type="dxa" w:w="2946"/>
          </w:tcPr>
          <w:p>
            <w:r>
              <w:t>LOW</w:t>
            </w:r>
          </w:p>
        </w:tc>
        <w:tc>
          <w:tcPr>
            <w:tcW w:type="dxa" w:w="2946"/>
          </w:tcPr>
          <w:p>
            <w:r>
              <w:t>524</w:t>
            </w:r>
          </w:p>
        </w:tc>
        <w:tc>
          <w:tcPr>
            <w:tcW w:type="dxa" w:w="2946"/>
          </w:tcPr>
          <w:p>
            <w:r>
              <w:t>17.7%</w:t>
            </w:r>
          </w:p>
        </w:tc>
      </w:tr>
      <w:tr>
        <w:tc>
          <w:tcPr>
            <w:tcW w:type="dxa" w:w="2946"/>
          </w:tcPr>
          <w:p>
            <w:r>
              <w:t>NONE</w:t>
            </w:r>
          </w:p>
        </w:tc>
        <w:tc>
          <w:tcPr>
            <w:tcW w:type="dxa" w:w="2946"/>
          </w:tcPr>
          <w:p>
            <w:r>
              <w:t>1881</w:t>
            </w:r>
          </w:p>
        </w:tc>
        <w:tc>
          <w:tcPr>
            <w:tcW w:type="dxa" w:w="2946"/>
          </w:tcPr>
          <w:p>
            <w:r>
              <w:t>63.4%</w:t>
            </w:r>
          </w:p>
        </w:tc>
      </w:tr>
    </w:tbl>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