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2026-07-31</w:t>
      </w:r>
    </w:p>
    <w:p>
      <w:pPr>
        <w:jc w:val="center"/>
      </w:pPr>
      <w:r>
        <w:rPr>
          <w:color w:val="808080"/>
          <w:sz w:val="18"/>
        </w:rPr>
        <w:t>생성 모델: claude-sonnet-4-6  |  HIGH+MEDIUM 308건 (해외 204건 / 국내 104건)</w:t>
      </w:r>
    </w:p>
    <w:p/>
    <w:p>
      <w:pPr>
        <w:pStyle w:val="Heading2"/>
      </w:pPr>
      <w:r>
        <w:t>오늘의 핵심</w:t>
      </w:r>
    </w:p>
    <w:p>
      <w:r>
        <w:t>이란 혁명수비대(IRGC)가 미군 공중 호위를 받던 유조선 2척을 호르무즈 해협에서 타격했다고 주장하며[11][12][13] 해협 긴장이 재차 고조되었다. 동시에 이란은 쿠웨이트·바레인 주둔 미군 기지를 타격했으며[8] 요르단·쿠웨이트에서도 IRGC 공격이 이어지는 등 이란-미국 군사 충돌이 중동 전역으로 확산되는 양상이다[10]. 브렌트유는 90달러를 돌파했고[46] WTI는 호르무즈 통행량 회복 기대에 80달러 수준으로 소폭 하락하는 등 유가 변동성이 극심하다[28]. 유럽 에너지 가격이 10% 급등하며 유로존 7월 인플레이션이 2.9%로 반등했고[54][55] ECB 9월 금리 인상 가능성이 제기되고 있다. 반면 국내 코스피는 단 하루 만에 1,001포인트 폭등하며 사상 최고치를 경신하는 등[58][63] 극단적 변동성이 나타났다. 사우디아라비아는 홍해 위협을 피해 유조선 6척을 아프리카 우회 항로로 전환했으며[69] 사우디 주도 다국적 해양 연합이 출범하는 등 중동 해상 안보 구도가 재편되고 있다[9].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51 / MEDIUM 115)</w:t>
      </w:r>
    </w:p>
    <w:p>
      <w:r>
        <w:rPr>
          <w:b/>
        </w:rPr>
        <w:t>🌐 해외 상황</w:t>
      </w:r>
    </w:p>
    <w:p>
      <w:r>
        <w:t>이란 혁명수비대(IRGC)는 미군 공중 호위를 받으며 호르무즈 해협 통과를 시도하던 유조선 2척을 타격했다고 주장했으며[5][7] 이란 측은 '미신고 항행'을 이유로 들었다[17]. 이란 페르시아만 안보청(PGSA)은 미국의 공격으로 인해 호르무즈 해협 통과가 불가능하다고 선언했다[6]. 이란은 쿠웨이트·바레인 주둔 미군 기지를 타격했고[8] 요르단·쿠웨이트에서도 IRGC 공격이 이어지며 이란-미국 군사 충돌이 중동 전역으로 확대되고 있다[10]. 후티 반군은 사우디아라비아가 홍해 다국적 해양 연합을 출범시키자 '전면 확전'을 선언했으며[4] 사우디 주도 다국적 해양 연합이 홍해 항로 보호를 위해 공식 출범했다[9]. 인도 외무장관은 이란 외무장관과의 통화에서 상선 및 선원에 대한 공격 중단을 강력히 촉구했다[2].</w:t>
      </w:r>
    </w:p>
    <w:p>
      <w:r>
        <w:rPr>
          <w:b/>
        </w:rPr>
        <w:t>🇰🇷 국내 영향</w:t>
      </w:r>
    </w:p>
    <w:p>
      <w:r>
        <w:t>이란이 미군 공중 호위를 받던 유조선 2척을 호르무즈 해협에서 타격했다는 소식이 국내 주요 언론에 일제히 보도되며[11][12][13][14][15][16][17][18][19][20] 호르무즈 해협 긴장 고조가 한국 시장의 핵심 변수로 부상했다. 이란은 '미군 호위를 믿으면 침몰한다'는 경고 메시지를 발신하며[13] 미군 호위 선박에 대한 공격 의지를 공개적으로 천명했다. 한국은 원유 수입의 상당 부분을 중동에 의존하고 있어 호르무즈 해협 통행 차질은 직접적인 에너지 공급 리스크로 작용할 가능성이 있다.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오만 인근 해상에서 섀도 플릿 유조선으로부터 유출된 기름이 위성 이미지에 포착되며 확산 중인 것으로 보고되었다[21]. 흑해에서는 인도 선원들이 공격을 받는 사건이 발생했으며 인도 외무장관 자이샨카르는 우크라이나 측에 이를 '절대 용납할 수 없다'고 항의했다[22].</w:t>
      </w:r>
    </w:p>
    <w:p>
      <w:pPr>
        <w:pStyle w:val="Heading3"/>
      </w:pPr>
      <w:r>
        <w:t>운임·물류비  (HIGH 8 / MEDIUM 5)</w:t>
      </w:r>
    </w:p>
    <w:p>
      <w:r>
        <w:rPr>
          <w:b/>
        </w:rPr>
        <w:t>🌐 해외 상황</w:t>
      </w:r>
    </w:p>
    <w:p>
      <w:r>
        <w:t>호르무즈 해협 통행량이 2주 만에 최고치를 기록하며 LNG 유조선 통행도 재개되었다는 S&amp;P 글로벌 보고가 나왔고[72] 호르무즈 오일 셔틀링 거래도 소강 이후 다시 증가세를 보이고 있다[23]. 그러나 걸프 지역 원유 수출은 호르무즈 통행량 증가에도 불구하고 회복에 어려움을 겪고 있으며[24] WTI는 호르무즈 통행량 점진적 증가 속에 80달러 수준으로 소폭 하락했다[28]. ADNOC은 호르무즈 위기로 인한 해운 여건 악화에 대응해 초대형 유조선 5척을 추가 매입했다[25]. 컨테이너 운임은 선사 할인 경쟁으로 8월 GRI(운임 인상) 시행 전 스팟 운임이 하락세를 보이고 있으며[29] 발틱건화물지수(BDI)는 2,732포인트로 59포인트 상승했다[30]. 파나마 운하는 엘니뇨 영향으로 수위가 재차 하락하며 통항 제한이 강화되었고[26] 코미테 우회 운하는 2028년 완공을 목표로 23개 계약이 모두 체결되었다[31].</w:t>
      </w:r>
    </w:p>
    <w:p>
      <w:r>
        <w:rPr>
          <w:b/>
        </w:rPr>
        <w:t>🇰🇷 국내 영향</w:t>
      </w:r>
    </w:p>
    <w:p>
      <w:r>
        <w:t>호르무즈 통행 중단 보도가 국내 시장의 파장 변수로 부각되었다[32]. 사우디 유조선 6척이 홍해를 우회해 아프리카 항로로 전환하면서 유가 변수로 작용할 가능성이 제기되고 있다[33]. HMM은 2분기 운임이 42% 급등하며 영업이익률 13% 회복 가능성이 보도되었다[34]. 독일 라인강 수위 저하로 내륙 물류 차질이 발생하며 유럽 경제의 추가 악재로 작용하고 있다[35].</w:t>
      </w:r>
    </w:p>
    <w:p>
      <w:pPr>
        <w:pStyle w:val="Heading3"/>
      </w:pPr>
      <w:r>
        <w:t>항만·화물  (HIGH 1 / MEDIUM 7)</w:t>
      </w:r>
    </w:p>
    <w:p>
      <w:r>
        <w:rPr>
          <w:b/>
        </w:rPr>
        <w:t>🌐 해외 상황</w:t>
      </w:r>
    </w:p>
    <w:p>
      <w:r>
        <w:t>이집트 다미에타 항구가 드론 공격을 받았으며[36] 이집트 총리는 조사를 지시했다[39]. 이스라엘 측은 이번 공격이 이집트가 역내 전쟁으로부터 자유롭지 않음을 보여준다고 평가했다[36]. 미국 전략비축유(SPR)는 비상 방출이 이어지며 노후 인프라에 부담이 가중되고 있다[37]. 이탈리아는 EU 내 최대 LNG 수입국으로 부상했다[38].</w:t>
      </w:r>
    </w:p>
    <w:p>
      <w:r>
        <w:rPr>
          <w:b/>
        </w:rPr>
        <w:t>🇰🇷 국내 영향</w:t>
      </w:r>
    </w:p>
    <w:p>
      <w:r>
        <w:t>울산항의 6월 물동량은 1,527만 톤을 기록했으며 대외 악조건 속에서도 차량·부품 수출이 선방한 것으로 나타났다[41]. 에이스냉장은 수원세관 특허보세구역 갱신을 완료하며 2031년까지 수도권 6만 톤 규모의 보세물류 거점을 유지하게 되었다[42][43].</w:t>
      </w:r>
    </w:p>
    <w:p>
      <w:pPr>
        <w:pStyle w:val="Heading3"/>
      </w:pPr>
      <w:r>
        <w:t>경제·금융  (HIGH 3 / MEDIUM 77)</w:t>
      </w:r>
    </w:p>
    <w:p>
      <w:r>
        <w:rPr>
          <w:b/>
        </w:rPr>
        <w:t>🌐 해외 상황</w:t>
      </w:r>
    </w:p>
    <w:p>
      <w:r>
        <w:t>브렌트유는 재개된 공격으로 90달러를 돌파했고[46] 미국-이란 갈등이 호르무즈 위기를 지속시키며 원유가 급등했다[44][48]. 중동 긴장으로 유가가 급등하며 미국 석유 대기업들의 이익이 급증했고[49] 셰브런은 6년 만에 최고 분기 이익을 기록했다[52]. 반면 인도 인디언오일은 원유가 급등으로 1분기에 2,661크로르 루피의 손실을 기록했다[50]. 영국 휘발유 가격은 이란 전쟁 발발 이후 최고치인 리터당 160펜스를 기록했다[51]. ADNOC은 시장 여건 변화에 따라 가격 기준을 플래츠 두바이로 전환하기로 했다[53].</w:t>
      </w:r>
    </w:p>
    <w:p>
      <w:r>
        <w:rPr>
          <w:b/>
        </w:rPr>
        <w:t>🇰🇷 국내 영향</w:t>
      </w:r>
    </w:p>
    <w:p>
      <w:r>
        <w:t>유로존 7월 인플레이션은 2.9%로 반등했으며 에너지 가격이 10% 급등한 것이 주요 원인으로 지목되었다[54][55][56][57]. 이에 따라 ECB의 9월 금리 인상 가능성이 제기되고 있다[54]. 국내 코스피는 단 하루 만에 1,001포인트 폭등하며 사상 최고치를 경신했고[58][62][63] 외국인이 8조 8,000억 원을 순매수하며 SK하이닉스와 삼성전자를 집중 매수했다[59][61]. 원·달러 환율은 한일 공조에도 불구하고 하락분을 대거 되돌리는 흐름을 보였다[60].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🇰🇷 국내 영향</w:t>
      </w:r>
    </w:p>
    <w:p>
      <w:r>
        <w:t>국내 고수온 경보가 '심각 1단계'로 격상되며 수협이 비상대책본부를 가동했다[64][65]. 동해에서도 고수온 예비특보가 발령되며 경북 어류 양식장이 비상 상황에 처했다[66]. 수협은 고수온 피해 최소화를 위해 보험금 선지급 및 재해복구융자 지원 등 비상 대응체계를 가동했다[65][67].</w:t>
      </w:r>
    </w:p>
    <w:p>
      <w:pPr>
        <w:pStyle w:val="Heading3"/>
      </w:pPr>
      <w:r>
        <w:t>해운  (HIGH 5 / MEDIUM 14)</w:t>
      </w:r>
    </w:p>
    <w:p>
      <w:r>
        <w:rPr>
          <w:b/>
        </w:rPr>
        <w:t>🌐 해외 상황</w:t>
      </w:r>
    </w:p>
    <w:p>
      <w:r>
        <w:t>사우디아라비아 유조선 6척이 후티 위협을 피해 아프리카 우회 항로를 이용하는 이례적 항행에 나섰다[68][69]. 호르무즈 해협에서는 초대형 유조선 2척이 통과에 성공했으며 통행량은 유지되고 있다[70]. 유가는 호르무즈 통행량 회복으로 전쟁 프리미엄이 일부 완화되며 소폭 하락했다[71]. 싱가포르는 LNG 벙커링 라이선스 8개를 신규 발급하며 멀티연료 벙커링 허브 역량을 강화했다[73][75][76]. 삼성중공업과 콘래드 조선소는 LNG 선박 관련 ABS 승인을 획득했다[74].</w:t>
      </w:r>
    </w:p>
    <w:p>
      <w:r>
        <w:rPr>
          <w:b/>
        </w:rPr>
        <w:t>🇰🇷 국내 영향</w:t>
      </w:r>
    </w:p>
    <w:p>
      <w:r>
        <w:t>SK오션플랜트는 성호해운과 718억 원 규모의 6,800DWT급 스테인리스 화학제품 운반선 2척 계약을 체결했다[77][78][79]. 팬오션은 2분기 영업이익 1,937억 원을 기록하며 전년 동기 대비 57.4% 증가했다[80][84][85][86]. HMM은 29조 원 투자 계획을 발표하며 벌크선 확대를 통한 안정 성장 기반 구축 전략을 공개했다[82]. 팬스타는 북극항로 시범운항을 위해 HMM의 2,800TEU급 컨테이너선 '몸바사호' 매입을 완료했다[81][83].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삼성전자·SK하이닉스 반도체 제품이 선박 대신 항공편으로 수출되고 있는 현장 상황이 보도되었다[87].</w:t>
      </w:r>
    </w:p>
    <w:p>
      <w:pPr>
        <w:pStyle w:val="Heading3"/>
      </w:pPr>
      <w:r>
        <w:t>기타 산업  (HIGH 2 / MEDIUM 13)</w:t>
      </w:r>
    </w:p>
    <w:p>
      <w:r>
        <w:rPr>
          <w:b/>
        </w:rPr>
        <w:t>🌐 해외 상황</w:t>
      </w:r>
    </w:p>
    <w:p>
      <w:r>
        <w:t>드론 공격이 중동 에너지 인프라 전반으로 확산되고 있으며[88] 이란과 연계된 공격으로 이라크 북부 지역의 에너지 생산이 중단되며 연료 부족 사태가 발생했다[94][95]. 우크라이나는 루코일 볼고그라드 정유소를 드론으로 타격했다[90]. 중국은 중동 공급 리스크 확대에 대응해 러시아산 원유 확보에 속도를 내고 있다[92]. 브라질은 바이오연료 및 LNG를 포함한 선박 연료 규정 개정에 나섰다[93].</w:t>
      </w:r>
    </w:p>
    <w:p>
      <w:r>
        <w:rPr>
          <w:b/>
        </w:rPr>
        <w:t>🇰🇷 국내 영향</w:t>
      </w:r>
    </w:p>
    <w:p>
      <w:r>
        <w:t>한국 정유사들이 호르무즈 공급 차질에 대응해 베네수엘라산 원유 도입을 검토하고 있는 것으로 보도되었다[89]. 카스피해 송유관의 무기한 중단 논의가 진행 중이며 유가 변수로 작용할 가능성이 제기되었다[96]. 중동발 LNG 충격이 본격화되며 7월 전력 도매가가 kWh당 133.8원으로 급등했다[99]. LNG 시장은 '화려한 부활'로 평가받으며 재조명되고 있으며[98] 에니·토탈에너지스의 키프로스 가스전 개발 관련 동향도 보도되었다[97]. 폭염으로 밀·옥수수·올리브유 등 식품 원자재 가격이 급등하며 식품업계의 원가 부담이 가중되고 있다[102].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2385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71</w:t>
            </w:r>
          </w:p>
        </w:tc>
        <w:tc>
          <w:tcPr>
            <w:tcW w:type="dxa" w:w="2946"/>
          </w:tcPr>
          <w:p>
            <w:r>
              <w:t>3.0%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237</w:t>
            </w:r>
          </w:p>
        </w:tc>
        <w:tc>
          <w:tcPr>
            <w:tcW w:type="dxa" w:w="2946"/>
          </w:tcPr>
          <w:p>
            <w:r>
              <w:t>9.9%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364</w:t>
            </w:r>
          </w:p>
        </w:tc>
        <w:tc>
          <w:tcPr>
            <w:tcW w:type="dxa" w:w="2946"/>
          </w:tcPr>
          <w:p>
            <w:r>
              <w:t>15.3%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1713</w:t>
            </w:r>
          </w:p>
        </w:tc>
        <w:tc>
          <w:tcPr>
            <w:tcW w:type="dxa" w:w="2946"/>
          </w:tcPr>
          <w:p>
            <w:r>
              <w:t>71.8%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