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2026-07-24</w:t>
      </w:r>
    </w:p>
    <w:p>
      <w:pPr>
        <w:jc w:val="center"/>
      </w:pPr>
      <w:r>
        <w:rPr>
          <w:color w:val="808080"/>
          <w:sz w:val="18"/>
        </w:rPr>
        <w:t>생성 모델: claude-sonnet-4-6  |  HIGH+MEDIUM 558건 (해외 302건 / 국내 256건)</w:t>
      </w:r>
    </w:p>
    <w:p/>
    <w:p>
      <w:pPr>
        <w:pStyle w:val="Heading2"/>
      </w:pPr>
      <w:r>
        <w:t>오늘의 핵심</w:t>
      </w:r>
    </w:p>
    <w:p>
      <w:r>
        <w:t>미국이 이란에 대해 13일째 공습을 지속하는 가운데[13], 이란은 호르무즈 요구 조건 없이는 일시적 휴전을 거부했으며[2], IRGC는 호르무즈 대체 항로 사용에 대해 경고를 발령했다[10]. 호르무즈 해협 유조선 통과 횟수는 5월 이후 최저 수준으로 급락했고[25][26][36], 국제유가 브렌트유는 배럴당 100달러를 돌파했다[34][65]. 국내 증시는 코스피가 5.72% 급락하며 7,000선이 붕괴되고 10일 연속 사이드카가 발동되는 등 금융시장 충격이 심화됐다[69][70]. 한국 외교부는 홍해·호르무즈 공급망 리스크 점검 회의를 개최하고 에너지·원자재 대체 수송로를 논의했으며[14][15][18], EU가 러시아산 LNG의 한국 수출 제재를 면제하기로 결정해 연간 200만 톤 도입 가능성이 열렸다[46][73].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99 / MEDIUM 133)</w:t>
      </w:r>
    </w:p>
    <w:p>
      <w:r>
        <w:rPr>
          <w:b/>
        </w:rPr>
        <w:t>🌐 해외 상황</w:t>
      </w:r>
    </w:p>
    <w:p>
      <w:r>
        <w:t>미국은 이란에 대해 13일째 공습을 이어가며 남부에서 북부까지 전역을 타격했고[9], 이란도 걸프만 내 미군 거점을 공격하는 등 상호 교전이 확대되고 있다[1]. 트럼프 대통령은 이란에 대한 '대규모 공격'을 경고했으며[3], 이란은 호르무즈 관련 요구 조건 없이는 일시적 휴전을 거부한다는 입장을 밝혔다[2]. IRGC는 호르무즈 해협 대체 항로 사용에 대해 경고를 발령했으며, 해당 해역에서 선박 화재가 발생했다[10]. 인도 선원 28명이 이란 해역에서 LPG 탱커 공격을 받았으나 안전한 것으로 확인됐다[5]. 이란군은 쿠웨이트 내 미군 장비 시설과 주둔지에 드론 공격을 감행했다[19].</w:t>
      </w:r>
    </w:p>
    <w:p>
      <w:r>
        <w:rPr>
          <w:b/>
        </w:rPr>
        <w:t>🇰🇷 국내 영향</w:t>
      </w:r>
    </w:p>
    <w:p>
      <w:r>
        <w:t>후티 반군은 바브엘만데브 해협 봉쇄 의사가 없으며 사우디에만 공격을 국한한다고 밝혔다[11][12]. 한국 외교부는 중동 공관과 홍해 리스크에 대한 선제적 대응을 논의하고 에너지·원자재 대체 수송로 확보 방안을 검토했다[15][16][18]. 한국석유공사는 중동 리스크 재확산에 대응해 비상대응체계를 재가동하고 서산 비축기지 현장점검회의를 개최했다[20][48][50]. 호르무즈에서 바브엘만데브로 확산되는 '초크포인트 전쟁' 양상에 대한 분석이 국내에서도 제기됐다[17].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유엔은 호르무즈 해협에 수천 명의 선원이 고립된 상황에 대해 구조를 촉구했다[21]. 선박 통항이 급감한 가운데 해협 내 선원 안전 문제가 국제적 현안으로 부상했다[77].</w:t>
      </w:r>
    </w:p>
    <w:p>
      <w:r>
        <w:rPr>
          <w:b/>
        </w:rPr>
        <w:t>🇰🇷 국내 영향</w:t>
      </w:r>
    </w:p>
    <w:p>
      <w:r>
        <w:t>국제해사기구(IMO)는 2028년 IGC Code 대개정을 예고했으며, 가스운반선 업계의 대응 일정이 빨라지고 있다[22].</w:t>
      </w:r>
    </w:p>
    <w:p>
      <w:pPr>
        <w:pStyle w:val="Heading3"/>
      </w:pPr>
      <w:r>
        <w:t>운임·물류비  (HIGH 14 / MEDIUM 5)</w:t>
      </w:r>
    </w:p>
    <w:p>
      <w:r>
        <w:rPr>
          <w:b/>
        </w:rPr>
        <w:t>🌐 해외 상황</w:t>
      </w:r>
    </w:p>
    <w:p>
      <w:r>
        <w:t>호르무즈 해협 유조선 통과 횟수는 2개월 이상 만에 최저 수준으로 하락했으며[25][27][28][29], 미국의 이란 13차 야간 공습 이후 유조선 통행량이 2개월 최저치를 기록했다[26]. 사우디아라비아의 홍해 경유 원유 수출은 3월 최고치 대비 41% 감소했다[23]. 홍해 선박 공격으로 인해 유가는 주간 기준 상승세를 보였다[30][31]. Xeneta의 7월 24일(30주차) 주간 컨테이너 해운 시황 업데이트가 발표됐다[32].</w:t>
      </w:r>
    </w:p>
    <w:p>
      <w:r>
        <w:rPr>
          <w:b/>
        </w:rPr>
        <w:t>🇰🇷 국내 영향</w:t>
      </w:r>
    </w:p>
    <w:p>
      <w:r>
        <w:t>호르무즈 유조선 통과 횟수가 5월 이후 최저 수준으로 급락했다[33][36]. 호르무즈와 홍해가 동시에 막히면서 국제유가가 두 달 만에 배럴당 100달러를 돌파했다[34]. 걸프만 산유국들은 호르무즈 우회 원유 수출로 확보에 총력을 기울이고 있다[35]. 글로벌 해운운임은 3주 연속 하락했으나 중동 노선 운임은 2주 연속 상승했다[37].</w:t>
      </w:r>
    </w:p>
    <w:p>
      <w:pPr>
        <w:pStyle w:val="Heading3"/>
      </w:pPr>
      <w:r>
        <w:t>항만·화물  (HIGH 16 / MEDIUM 7)</w:t>
      </w:r>
    </w:p>
    <w:p>
      <w:r>
        <w:rPr>
          <w:b/>
        </w:rPr>
        <w:t>🌐 해외 상황</w:t>
      </w:r>
    </w:p>
    <w:p>
      <w:r>
        <w:t>UAE ADNOC은 호르무즈 해협 교란 상황에서 현물 원유 판매를 확대했다[38]. 카자흐스탄은 카스피해 파이프라인 컨소시엄(CPC) 선적 작업 중단으로 원유 생산량을 감축했다[39]. 인도 HPCL·BPCL은 8월까지 원유 공급을 확보했으며 9월분을 물색 중이다[42]. 러시아의 미사일 공격으로 우크라이나 항만이 마비되면서 선박들이 우크라이나 곡물 항만을 기피하고 있다[41][45].</w:t>
      </w:r>
    </w:p>
    <w:p>
      <w:r>
        <w:rPr>
          <w:b/>
        </w:rPr>
        <w:t>🇰🇷 국내 영향</w:t>
      </w:r>
    </w:p>
    <w:p>
      <w:r>
        <w:t>EU는 러시아산 LNG의 한국 수출에 대한 제재를 면제하기로 결정해 연간 200만 톤 도입 가능성이 열렸으며, 재보험 등 관련 서비스 이용도 가능해졌다[46][47][49]. 한국 산업부는 이를 한-EU 정상외교 성과로 평가했다[74]. 한국석유공사는 중동 정세 악화에 대응해 서산 비축기지 현장점검회의를 개최하고 석유 수급 선제 대응 체계를 점검했다[48][51][52][53][54][55].</w:t>
      </w:r>
    </w:p>
    <w:p>
      <w:pPr>
        <w:pStyle w:val="Heading3"/>
      </w:pPr>
      <w:r>
        <w:t>경제·금융  (HIGH 29 / MEDIUM 217)</w:t>
      </w:r>
    </w:p>
    <w:p>
      <w:r>
        <w:rPr>
          <w:b/>
        </w:rPr>
        <w:t>🌐 해외 상황</w:t>
      </w:r>
    </w:p>
    <w:p>
      <w:r>
        <w:t>브렌트유는 배럴당 100달러를 돌파했으며[65], 중동 긴장 고조로 주간 기준 상승세를 유지했다[57][60][63][64]. 다만 일부 유조선이 주요 수로를 통과하면서 유가가 100달러 아래로 일시 하락하기도 했다[58]. 후티 반군의 홍해 공격이 유가 급등을 촉발하는 요인으로 분석됐다[61]. 전쟁이 석유 시장의 모든 제약을 깨뜨리는 위험한 새 국면에 진입했다는 분석도 제기됐다[62].</w:t>
      </w:r>
    </w:p>
    <w:p>
      <w:r>
        <w:rPr>
          <w:b/>
        </w:rPr>
        <w:t>🇰🇷 국내 영향</w:t>
      </w:r>
    </w:p>
    <w:p>
      <w:r>
        <w:t>코스피는 중동 긴장 고조와 유가 100달러 돌파, 미국 금리 4.7% 충격이 겹치며 5.72% 급락해 7,000선이 붕괴됐다[69][71]. 코스피·코스닥이 동반 급락하며 10일 연속 사이드카가 발동됐다[70][75]. EU의 러시아산 LNG 한국 수출 제재 면제 결정이 발표됐다[72][73]. 한국의 미국 환율 관찰대상국 재지정이 외환시장에 미치는 영향은 제한적일 것으로 분석가들은 전망했다[66].</w:t>
      </w:r>
    </w:p>
    <w:p>
      <w:pPr>
        <w:pStyle w:val="Heading3"/>
      </w:pPr>
      <w:r>
        <w:t>해운  (HIGH 6 / MEDIUM 14)</w:t>
      </w:r>
    </w:p>
    <w:p>
      <w:r>
        <w:rPr>
          <w:b/>
        </w:rPr>
        <w:t>🌐 해외 상황</w:t>
      </w:r>
    </w:p>
    <w:p>
      <w:r>
        <w:t>후티 반군이 홍해에서 사우디 원유를 운반하는 선박을 공격하면서 유조선들이 대체 항로를 모색하고 있다[76]. 한 유조선은 후티 경고로 인해 아시아 항로를 수에즈 경유로 변경했다[78]. 사우디 원유 탱커가 바브엘만데브 해협을 통과하기 위해 선박자동식별장치(AIS)를 끄고 항행했다[79]. 중국 초대형 유조선(VLCC) 2척이 사우디 원유를 싣고 홍해를 빠져나갔으며[81][82], 다른 VLCC들도 후티 경고에도 불구하고 홍해 남하를 시도했다[80]. 호르무즈 해협에서는 선박 통항이 사실상 정체된 가운데 선원들이 고립된 상태다[77].</w:t>
      </w:r>
    </w:p>
    <w:p>
      <w:r>
        <w:rPr>
          <w:b/>
        </w:rPr>
        <w:t>🇰🇷 국내 영향</w:t>
      </w:r>
    </w:p>
    <w:p>
      <w:r>
        <w:t>중국 유조선 2척이 홍해를 통과했으며, 이란이 후티 반군에 비밀리에 무기를 제공하고 있다는 보도가 나왔다[83]. HMM은 벌크 비중을 높이고 장기계약·선종 다변화를 추진하는 방식으로 시황 방어에 나서고 있다[84]. 삼성중공업은 LNG선 호황 효과로 2분기 영업이익이 전년 대비 59% 증가한 3,250억 원을 기록했으며, 상반기 누적 영업이익은 전년 대비 82% 증가하고 수주 목표치의 98%를 달성했다[86][87][88][89][90]. 부산신항은 선박 연료 공급을 확대하며 북극항로 대비에 나섰고[85], 워싱턴DC에 한미 조선협력센터가 개소됐다[92].</w:t>
      </w:r>
    </w:p>
    <w:p>
      <w:pPr>
        <w:pStyle w:val="Heading3"/>
      </w:pPr>
      <w:r>
        <w:t>물류  (HIGH 0 / MEDIUM 8)</w:t>
      </w:r>
    </w:p>
    <w:p>
      <w:r>
        <w:rPr>
          <w:b/>
        </w:rPr>
        <w:t>🇰🇷 국내 영향</w:t>
      </w:r>
    </w:p>
    <w:p>
      <w:r>
        <w:t>중동 전쟁 장기화로 중소기업 피해가 1,019건에 달하며 물류비 부담이 가중되고 있다[94][98]. 현대글로비스는 고유가 상황에서도 자동차 물동량이 선방하며 해운 실적 개선이 기대된다[100]. CJ대한통운은 물동량이 10% 증가했음에도 영업이익이 감소하는 실적 부진을 보였으며[95], 하반기 반등 기대감은 유지되고 있다[97]. 현대차는 구리·니켈 등 광물 가격 급등에 대응해 공급망 밀착 관리에 나섰다[99].</w:t>
      </w:r>
    </w:p>
    <w:p>
      <w:pPr>
        <w:pStyle w:val="Heading3"/>
      </w:pPr>
      <w:r>
        <w:t>기타 산업  (HIGH 1 / MEDIUM 7)</w:t>
      </w:r>
    </w:p>
    <w:p>
      <w:r>
        <w:rPr>
          <w:b/>
        </w:rPr>
        <w:t>🌐 해외 상황</w:t>
      </w:r>
    </w:p>
    <w:p>
      <w:r>
        <w:t>카자흐스탄은 드론 공격 여파로 원유 생산을 일시 중단했으나, 루마니아 총리는 향후 2주간 연료 공급 위험은 없다고 밝혔다[102][105]. 밀 가격은 전쟁 리스크로 인한 공급 우려로 7월 상승세를 이어갔다[103].</w:t>
      </w:r>
    </w:p>
    <w:p>
      <w:r>
        <w:rPr>
          <w:b/>
        </w:rPr>
        <w:t>🇰🇷 국내 영향</w:t>
      </w:r>
    </w:p>
    <w:p>
      <w:r>
        <w:t>원유 가격이 7~8달러/배럴 오른 데 비해 석유제품 가격은 13달러 상승해 정유 마진이 확대된 것으로 보인다[104]. 정부는 유류세 인하를 9월 말까지 연장하고 계란·요소수 등 원자재 수급 안정 조치를 발표했다[107]. 요소수 매점매석 금지 조치도 한 달 연장됐다[108].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2458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166</w:t>
            </w:r>
          </w:p>
        </w:tc>
        <w:tc>
          <w:tcPr>
            <w:tcW w:type="dxa" w:w="2946"/>
          </w:tcPr>
          <w:p>
            <w:r>
              <w:t>6.8%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392</w:t>
            </w:r>
          </w:p>
        </w:tc>
        <w:tc>
          <w:tcPr>
            <w:tcW w:type="dxa" w:w="2946"/>
          </w:tcPr>
          <w:p>
            <w:r>
              <w:t>15.9%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371</w:t>
            </w:r>
          </w:p>
        </w:tc>
        <w:tc>
          <w:tcPr>
            <w:tcW w:type="dxa" w:w="2946"/>
          </w:tcPr>
          <w:p>
            <w:r>
              <w:t>15.1%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1529</w:t>
            </w:r>
          </w:p>
        </w:tc>
        <w:tc>
          <w:tcPr>
            <w:tcW w:type="dxa" w:w="2946"/>
          </w:tcPr>
          <w:p>
            <w:r>
              <w:t>62.2%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