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2026-05-17</w:t>
      </w:r>
    </w:p>
    <w:p>
      <w:pPr>
        <w:jc w:val="center"/>
      </w:pPr>
      <w:r>
        <w:rPr>
          <w:color w:val="808080"/>
          <w:sz w:val="18"/>
        </w:rPr>
        <w:t>생성 모델: claude-sonnet-4-6  |  HIGH+MEDIUM 337건 (해외 173건 / 국내 164건)</w:t>
      </w:r>
    </w:p>
    <w:p/>
    <w:p>
      <w:pPr>
        <w:pStyle w:val="Heading2"/>
      </w:pPr>
      <w:r>
        <w:t>오늘의 핵심</w:t>
      </w:r>
    </w:p>
    <w:p>
      <w:r>
        <w:t>이란이 호르무즈 해협 통행료 부과 메커니즘을 곧 발표할 예정이라고 이란 의회 관계자가 밝혔으며[27][28][36], 유럽 국가들이 이란의 호르무즈 통제권을 수용하고 100억 달러 이상의 수수료 계획을 논의 중이라는 보도도 나왔다[29]. UAE 바라카 원전 인근에 드론이 피격되어 화재가 발생했으나 방사선 영향은 없는 것으로 확인됐으며[89][90][91], UN 핵 감시기구가 이를 '용납할 수 없는 위협'으로 규정했다[8]. 한국 외교장관 조현은 이란 외교장관 아락치와 통화해 HMM 나무호 피격 사건에 대한 이란의 입장을 요구했고[13][14][16][18], 두바이에 파견됐던 군 기술분석팀이 3일 만에 귀국해 정밀 분석에 착수했다[15][19][22]. 국제유가는 미·이란 전쟁 우려로 3% 이상 급등했으며[44][45][54], 모디스는 2026년 국제유가가 배럴당 90~110달러 범위를 유지할 것으로 전망했다[47].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73 / MEDIUM 142)</w:t>
      </w:r>
    </w:p>
    <w:p>
      <w:r>
        <w:rPr>
          <w:b/>
        </w:rPr>
        <w:t>🌐 해외 상황</w:t>
      </w:r>
    </w:p>
    <w:p>
      <w:r>
        <w:t>이란이 호르무즈 해협 통행료 부과 메커니즘을 곧 발표할 예정이라고 이란 의회 고위 관계자가 밝혔으며[27][28], 이란은 또한 호르무즈 해저 인터넷 케이블에도 수수료를 부과할 계획을 시사했다[32]. 이란은 '적국' 무기의 호르무즈 통과를 허용하지 않겠다고 경고했고[7], 미국과 이란은 전쟁 종식 및 호르무즈 문제에서 여전히 큰 입장 차를 보이고 있다[6]. UAE 바라카 원전 인근에 드론이 피격되어 화재가 발생했으며[80][81][82][83], UN 핵 감시기구(IAEA)는 이를 '용납할 수 없는 안전 위협'으로 규정하고 경보를 발령했다[8]. 인도는 UN에서 호르무즈 상업 선박 공격에 대한 우려를 표명했고[9], 미국 해군 중부사령부는 이란 봉쇄 이후 78척의 선박이 항로를 변경했다고 밝혔다[71].</w:t>
      </w:r>
    </w:p>
    <w:p>
      <w:r>
        <w:rPr>
          <w:b/>
        </w:rPr>
        <w:t>🇰🇷 국내 영향</w:t>
      </w:r>
    </w:p>
    <w:p>
      <w:r>
        <w:t>한국 외교장관 조현은 이란 외교장관 아락치와 5월 17일 통화를 갖고 HMM 나무호 피격 사건에 대한 이란의 입장을 공식 요구했다[13][14][16][18][20]. 두바이에 파견됐던 군 기술분석팀이 현장 조사 이틀 만에 귀국했으며, 발사 주체 파악에 주력하고 있다[15][17][19]. 귀국한 기술분석팀은 정밀 분석을 예정하고 있다[22][23]. 미국은 이란에 농축우라늄 400kg 반출을 요구했으며, 이란은 호르무즈 권리 인정을 조건으로 제시하는 등 협상이 교착 상태에 있다[11][12].</w:t>
      </w:r>
    </w:p>
    <w:p>
      <w:pPr>
        <w:pStyle w:val="Heading3"/>
      </w:pPr>
      <w:r>
        <w:t>해양안전  (HIGH 1 / MEDIUM 5)</w:t>
      </w:r>
    </w:p>
    <w:p>
      <w:r>
        <w:rPr>
          <w:b/>
        </w:rPr>
        <w:t>🌐 해외 상황</w:t>
      </w:r>
    </w:p>
    <w:p>
      <w:r>
        <w:t>드론 피격을 당한 선박에 탑승했던 필리핀 선원 2명이 귀국했다[21].</w:t>
      </w:r>
    </w:p>
    <w:p>
      <w:r>
        <w:rPr>
          <w:b/>
        </w:rPr>
        <w:t>🇰🇷 국내 영향</w:t>
      </w:r>
    </w:p>
    <w:p>
      <w:r>
        <w:t>HMM 나무호 조사를 위해 두바이에 파견됐던 기술분석팀이 국내로 복귀했으며 정밀 분석이 예정되어 있다[22][23]. 경남 사천 앞바다에서 예인선이 침몰해 바다에 빠진 60대 선장이 구조됐다[24][26]. 보령 삽시도 해상에서 선박이 좌초되어 7명이 구조됐다[25].</w:t>
      </w:r>
    </w:p>
    <w:p>
      <w:pPr>
        <w:pStyle w:val="Heading3"/>
      </w:pPr>
      <w:r>
        <w:t>운임·물류비  (HIGH 5 / MEDIUM 10)</w:t>
      </w:r>
    </w:p>
    <w:p>
      <w:r>
        <w:rPr>
          <w:b/>
        </w:rPr>
        <w:t>🌐 해외 상황</w:t>
      </w:r>
    </w:p>
    <w:p>
      <w:r>
        <w:t>이란이 호르무즈 해협 통행료 부과 메커니즘을 곧 발표할 예정이며[27][28], 유럽 국가들이 이란의 호르무즈 통제권을 수용하고 100억 달러 이상의 수수료 계획을 논의 중이라는 보도가 나왔다[29]. 이란은 '호르무즈 세이프(Hormuz Safe)'라는 해상 보험 플랫폼을 출시했다[33]. 중국이 해운사들을 조사하면서 운임이 두 자릿수 급등했다[34]. UAE는 2027년까지 호르무즈를 우회하는 원유 수출 용량을 두 배로 늘릴 계획이다[35].</w:t>
      </w:r>
    </w:p>
    <w:p>
      <w:r>
        <w:rPr>
          <w:b/>
        </w:rPr>
        <w:t>🇰🇷 국내 영향</w:t>
      </w:r>
    </w:p>
    <w:p>
      <w:r>
        <w:t>이란 의회 관계자가 호르무즈 통행 체제 및 수수료 부과를 곧 발표할 것이라고 밝혔다[36]. 전쟁 장기화로 올해 미국 해상운송 물동량의 성수기가 사라질 것이라는 전망이 제기됐다[37]. 국제선 유류할증료는 6월에 5~6단계 하락할 것으로 전망되어 여행객 부담이 완화될 것으로 보인다[39][40]. 제주도의 배송비가 육지 대비 6배에 달하는 문제가 지속되고 있다[41].</w:t>
      </w:r>
    </w:p>
    <w:p>
      <w:pPr>
        <w:pStyle w:val="Heading3"/>
      </w:pPr>
      <w:r>
        <w:t>항만·화물  (HIGH 1 / MEDIUM 1)</w:t>
      </w:r>
    </w:p>
    <w:p>
      <w:r>
        <w:rPr>
          <w:b/>
        </w:rPr>
        <w:t>🌐 해외 상황</w:t>
      </w:r>
    </w:p>
    <w:p>
      <w:r>
        <w:t>이라크는 4월 호르무즈 해협을 통해 1,000만 배럴의 원유를 수출했으며[30][42], 이는 봉쇄 상황에서도 일부 원유 수송이 이루어지고 있음을 보여준다.</w:t>
      </w:r>
    </w:p>
    <w:p>
      <w:r>
        <w:rPr>
          <w:b/>
        </w:rPr>
        <w:t>🇰🇷 국내 영향</w:t>
      </w:r>
    </w:p>
    <w:p>
      <w:r>
        <w:t>한국가스공사가 LNG 직도입 발전사의 가스 배관망 이용 비용 및 행정 부담을 낮추는 방안을 추진 중이다[43].</w:t>
      </w:r>
    </w:p>
    <w:p>
      <w:pPr>
        <w:pStyle w:val="Heading3"/>
      </w:pPr>
      <w:r>
        <w:t>경제·금융  (HIGH 3 / MEDIUM 56)</w:t>
      </w:r>
    </w:p>
    <w:p>
      <w:r>
        <w:rPr>
          <w:b/>
        </w:rPr>
        <w:t>🌐 해외 상황</w:t>
      </w:r>
    </w:p>
    <w:p>
      <w:r>
        <w:t>미·이란 전쟁 우려로 국제유가가 3% 이상 급등했으며[44][45], 이는 월스트리트와 ASX 등 글로벌 증시에 부정적 영향을 미쳤다[46]. 무디스는 2026년 국제유가가 배럴당 90~110달러 범위를 유지할 것으로 전망했다[47]. 중동 분쟁이 금리 인하 기대를 뒤흔들고 있다는 분석이 나왔다[52]. 미국 가계의 연료비가 450억 달러 증가할 것으로 추산됐으며[60], 전쟁이 연말까지 지속될 경우 미국인 연료비가 258조 원 추가 지출될 것이라는 전망도 제기됐다[62].</w:t>
      </w:r>
    </w:p>
    <w:p>
      <w:r>
        <w:rPr>
          <w:b/>
        </w:rPr>
        <w:t>🇰🇷 국내 영향</w:t>
      </w:r>
    </w:p>
    <w:p>
      <w:r>
        <w:t>호르무즈 봉쇄 지속으로 5월 15일 국제유가가 상승했으며[54], 한국을 포함한 16개국이 유가 상한제를 검토하기 시작했다[56]. 원·달러 환율은 일주일 만에 70원 출렁이는 등 변동성이 확대됐으며[58], 한미 시장금리 격차가 3년 만에 최저 수준으로 좁혀졌다[59]. 호르무즈 관련 경고로 비트코인이 7만 8,000달러 아래로 붕괴되며 800억 달러가 증발했다는 보도도 나왔다[63]. 아시아나항공은 1분기 적자로 전환했으며, 여객 공급 감소와 환율 상승이 주요 원인으로 지목됐다[55].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원양어선 기름값 지원이 경쟁국 수준으로 상시화되어야 한다는 주장이 제기됐다[64].</w:t>
      </w:r>
    </w:p>
    <w:p>
      <w:pPr>
        <w:pStyle w:val="Heading3"/>
      </w:pPr>
      <w:r>
        <w:t>해운  (HIGH 8 / MEDIUM 8)</w:t>
      </w:r>
    </w:p>
    <w:p>
      <w:r>
        <w:rPr>
          <w:b/>
        </w:rPr>
        <w:t>🌐 해외 상황</w:t>
      </w:r>
    </w:p>
    <w:p>
      <w:r>
        <w:t>마샬군도 선적 LPG 탱커 시미(Symi)호가 호르무즈 해협을 통과해 인도 칸들라 항에 안전하게 도착했으며[65][66][68][69][70], 이라크산 원유를 실은 수에즈막스 탱커도 호르무즈를 통과해 인도에 도착했다[67][73]. 미국 중부사령부는 이란 봉쇄 이후 78척의 선박이 항로를 변경했다고 밝혔다[71]. 두바이 그린 코리도르가 글로벌 해운 교란 속 핵심 무역 생명선으로 부상하고 있다[72]. 선원 부족 심화로 글로벌 해운이 숨겨진 위기에 직면하고 있다는 경고가 나왔다[74].</w:t>
      </w:r>
    </w:p>
    <w:p>
      <w:r>
        <w:rPr>
          <w:b/>
        </w:rPr>
        <w:t>🇰🇷 국내 영향</w:t>
      </w:r>
    </w:p>
    <w:p>
      <w:r>
        <w:t>삼성중공업이 LNG 운반선 2척을 7,505억 원에 수주했다[75]. KSS해운은 1분기 매출액 1,398억 원, 영업이익 216억 원의 실적을 발표했다[76]. 2040년이면 북극항로가 남방항로에 버금가는 수익성을 가질 것이라는 전망이 제기됐다[77].</w:t>
      </w:r>
    </w:p>
    <w:p>
      <w:pPr>
        <w:pStyle w:val="Heading3"/>
      </w:pPr>
      <w:r>
        <w:t>기타 산업  (HIGH 1 / MEDIUM 22)</w:t>
      </w:r>
    </w:p>
    <w:p>
      <w:r>
        <w:rPr>
          <w:b/>
        </w:rPr>
        <w:t>🌐 해외 상황</w:t>
      </w:r>
    </w:p>
    <w:p>
      <w:r>
        <w:t>UAE 바라카 원전 인근에 드론이 피격되어 화재가 발생했으며[80][81][82][83], 이는 중동 에너지 인프라에 대한 위협이 고조되고 있음을 보여준다. LPG 공급 교란으로 주방용품 관련 주식이 상승하고 식당 업계가 시장 압박을 받고 있다[84]. 해운사들이 이란 전쟁으로 인한 연료 부족을 우려하고 있다[85]. 미국 에너지부 장관이 카타르에너지 골든패스 LNG 프로젝트를 방문했다[87].</w:t>
      </w:r>
    </w:p>
    <w:p>
      <w:r>
        <w:rPr>
          <w:b/>
        </w:rPr>
        <w:t>🇰🇷 국내 영향</w:t>
      </w:r>
    </w:p>
    <w:p>
      <w:r>
        <w:t>UAE 바라카 원전 드론 피격으로 화재가 발생했으나 방사선 영향은 없으며, 한전은 직원 피해가 없다고 밝혔다[89][90][91]. 중동 사태로 수산가공업체들이 직격탄을 맞고 있으나 지원 사각지대에 놓여 있다는 지적이 나왔다[88]. 이란 전쟁 여파로 나프타 가격이 급증하면서 비상 식수 병입 수돗물 생산이 추진되고 있다[97]. 중동발 비료 위기를 순환식 수경재배 기술로 극복하려는 시도가 이루어지고 있으며[96], 중동전쟁 여파로 자동차 소모품 가격이 급등해 소비자 부담이 커지고 있다[93]. 정유 4사의 영업이익이 6조 원에 달하지만 착시 효과라는 분석이 나왔고[92], SK는 울산 석유화학사업 통합매각을 추진 중이다[95].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2507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92</w:t>
            </w:r>
          </w:p>
        </w:tc>
        <w:tc>
          <w:tcPr>
            <w:tcW w:type="dxa" w:w="2946"/>
          </w:tcPr>
          <w:p>
            <w:r>
              <w:t>3.7%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245</w:t>
            </w:r>
          </w:p>
        </w:tc>
        <w:tc>
          <w:tcPr>
            <w:tcW w:type="dxa" w:w="2946"/>
          </w:tcPr>
          <w:p>
            <w:r>
              <w:t>9.8%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350</w:t>
            </w:r>
          </w:p>
        </w:tc>
        <w:tc>
          <w:tcPr>
            <w:tcW w:type="dxa" w:w="2946"/>
          </w:tcPr>
          <w:p>
            <w:r>
              <w:t>14.0%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1820</w:t>
            </w:r>
          </w:p>
        </w:tc>
        <w:tc>
          <w:tcPr>
            <w:tcW w:type="dxa" w:w="2946"/>
          </w:tcPr>
          <w:p>
            <w:r>
              <w:t>72.6%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