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2026-10-28</w:t>
      </w:r>
    </w:p>
    <w:p>
      <w:pPr>
        <w:jc w:val="center"/>
      </w:pPr>
      <w:r>
        <w:rPr>
          <w:color w:val="808080"/>
          <w:sz w:val="18"/>
        </w:rPr>
        <w:t>생성 모델: claude-sonnet-4-6  |  HIGH+MEDIUM 267건 (해외 189건 / 국내 78건)</w:t>
      </w:r>
    </w:p>
    <w:p/>
    <w:p>
      <w:pPr>
        <w:pStyle w:val="Heading2"/>
      </w:pPr>
      <w:r>
        <w:t>오늘의 핵심</w:t>
      </w:r>
    </w:p>
    <w:p>
      <w:r>
        <w:t>후티 반군이 사우디아라비아 최대 정유시설인 라스 타누라 정유소에 탄도미사일을 발사했다고 예멘 무장세력이 발표했으며[4], 후티는 추가로 사우디 국방부에도 미사일을 발사했다고 주장했다[11][16]. 이에 국제유가는 브렌트유 기준 배럴당 115달러를 돌파했고[2][64], 금 현물은 3,995.81달러로 마감하며 2022년 6월 이후 최고 수준을 기록했다[70]. 후티는 아덴 공항을 겨냥한 미사일 공격도 감행해 폭발이 발생했으며[6][19], 사우디 동서 송유관 펌프장 공격도 주장했다[21]. 사우디 연합군 방공망은 타이프를 향한 후티 탄도미사일을 요격·격파했다[5]. 사우디아라비아와 쿠웨이트는 후티 공격에 대한 국제사회의 단호한 대응을 촉구했으며[9], 사우디-이집트 회담이 위기 봉쇄를 모색했다[12]. 흑해에서는 불가리아 해안 인근 컨테이너선이 해상 드론 3기의 공격을 받았으나 선원 18명 전원이 구조됐다[24][26][27]. 이란은 호르무즈 해협에서 기뢰에 충돌한 유조선 화재가 발생했다고 밝혔으며[17], 한국 선사가 미·이란 간 호르무즈 통항권 분쟁에 볼모가 된 상황이 보도됐다[18]. 코스피는 10거래일 만에 6,000선을 회복했고[68], 원·달러 환율은 달러 매수세에 14원 급등해 1,337.7원으로 마감했다[76]. 카타르에너지가 벤처글로벌로부터 연 300만 톤 규모의 LNG 공급 협상을 진행 중인 것으로 알려졌다[53]. 유럽 천연가스 가격은 €100를 돌파했다[59]. 파키스탄이 대만 항공사의 영공 통과를 금지하는 세계 최초 조치를 시행했다[14].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74건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58건</w:t>
            </w:r>
          </w:p>
        </w:tc>
        <w:tc>
          <w:tcPr>
            <w:tcW w:type="dxa" w:w="2209"/>
          </w:tcPr>
          <w:p>
            <w:r>
              <w:t>▼18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27건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정책</w:t>
            </w:r>
          </w:p>
        </w:tc>
        <w:tc>
          <w:tcPr>
            <w:tcW w:type="dxa" w:w="2209"/>
          </w:tcPr>
          <w:p>
            <w:r>
              <w:t>곡물 비축 확대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▼27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컨테이너선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밀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50 / MEDIUM 40)</w:t>
      </w:r>
    </w:p>
    <w:p>
      <w:r>
        <w:rPr>
          <w:b/>
        </w:rPr>
        <w:t>🌐 해외 상황</w:t>
      </w:r>
    </w:p>
    <w:p>
      <w:r>
        <w:t>예멘 후티 무장세력은 사우디아라비아 최대 정유시설인 라스 타누라 정유소에 탄도미사일 공격을 가했다고 발표했으며[4], 사우디 국방부 건물에도 미사일을 발사했다고 주장했다[11]. 후티는 아덴 공항 내 사우디군 통제 구역에도 미사일을 발사했고[20], 아덴 공항 인근에서 폭발이 발생해 대피 요구가 이어졌다[6][10]. 사우디 동서 송유관 펌프장도 후티의 공격 대상이 됐다[21]. 사우디 연합군 방공망은 타이프를 향해 발사된 후티 탄도미사일을 요격·격파했다[5]. 예멘 북부에서는 사우디 공습으로 14명이 사망하고 10명이 부상했다는 후티 측 보도가 나왔으며[7], 예멘군은 타이즈 후티 거점에 6차례 공습을 실시했다[8]. 사우디아라비아와 쿠웨이트는 후티 공격에 대한 국제사회의 단호한 대응을 공동 촉구했고[9], 사우디-이집트 회담이 위기 봉쇄를 모색했다[12]. 사우디아라비아는 후티 위협 고조에 대응해 억지력 강화 전략으로 전환하고 있는 것으로 보인다[1]. 중국 랴오닝 항모전단은 서태평양에서 작전 범위를 확대하고 있다[13]. 파키스탄은 대만 항공사의 영공 통과를 금지하는 세계 최초 조치를 시행했다[14].</w:t>
      </w:r>
    </w:p>
    <w:p>
      <w:r>
        <w:rPr>
          <w:b/>
        </w:rPr>
        <w:t>🇰🇷 국내 영향</w:t>
      </w:r>
    </w:p>
    <w:p>
      <w:r>
        <w:t>이란은 호르무즈 해협에서 기뢰에 충돌한 유조선 화재가 발생했다고 밝혔으며[17], 미·이란 간 호르무즈 통항권 분쟁으로 한국 선사가 직접적인 피해를 입고 있다는 보도가 나왔다[18]. 후티의 사우디 정유시설 공격으로 국제유가가 다시 급등하는 상황이 국내에서도 주목받고 있다[15]. 후티의 사우디 국방부 미사일 공격은 중동 4국 회담 다음 날 발생해 외교적 긴장이 고조됐다[16]. 후티의 연속 미사일 공격으로 사우디에서 20명이 사망했다는 보도도 이어졌다[22].</w:t>
      </w:r>
    </w:p>
    <w:p>
      <w:pPr>
        <w:pStyle w:val="Heading3"/>
      </w:pPr>
      <w:r>
        <w:t>해양안전  (HIGH 0 / MEDIUM 8)</w:t>
      </w:r>
    </w:p>
    <w:p>
      <w:r>
        <w:rPr>
          <w:b/>
        </w:rPr>
        <w:t>🌐 해외 상황</w:t>
      </w:r>
    </w:p>
    <w:p>
      <w:r>
        <w:t>불가리아 해안 인근 흑해에서 컨테이너선이 해상 드론 3기의 공격을 받았으나 선원 18명 전원이 구조됐다[24][26][27]. 불가리아 국방장관도 이 사실을 확인했다[27]. 부산에서 열린 해사 지도자 회의에서 글로벌 해운 규정 강화를 촉구하는 목소리가 나왔다[25]. 차량 운반선 안전 포럼은 차량 운반선 대상 신규 소화 훈련 지침을 발표했다[28].</w:t>
      </w:r>
    </w:p>
    <w:p>
      <w:r>
        <w:rPr>
          <w:b/>
        </w:rPr>
        <w:t>🇰🇷 국내 영향</w:t>
      </w:r>
    </w:p>
    <w:p>
      <w:r>
        <w:t>부산항은 안전관리를 전면 강화하고 근로자 참여 및 복합재난 대응체계를 구축하기로 했다[29]. 부산항에서는 규모 7.8 강진과 선박 충돌을 동시에 가정한 복합재난 대응훈련이 실시됐다[30].</w:t>
      </w:r>
    </w:p>
    <w:p>
      <w:pPr>
        <w:pStyle w:val="Heading3"/>
      </w:pPr>
      <w:r>
        <w:t>운임·물류비  (HIGH 1 / MEDIUM 15)</w:t>
      </w:r>
    </w:p>
    <w:p>
      <w:r>
        <w:rPr>
          <w:b/>
        </w:rPr>
        <w:t>🌐 해외 상황</w:t>
      </w:r>
    </w:p>
    <w:p>
      <w:r>
        <w:t>사우디 탱커 대기업 바흐리(Bahri)는 운임 급등에 힘입어 분기 순이익이 891% 급증했으며[39], 탱커 운임 급등이 실적을 견인했다[36][37]. 러시아는 흑해 리스크를 피해 무르만스크항을 통한 북극 항로로 곡물 수출을 전환하고 있으며[31][35], 아조프해에서는 7월 이후 처음으로 곡물 수출 허가를 발급했다[32]. 튀르키예·불가리아·루마니아는 흑해가 국제 무역과 곡물 공급에 중요하다는 점을 강조했다[33]. 카자흐스탄은 환적 화물량이 3,630만 톤으로 급증했다[34]. 제재 대상 유조선들이 페르시아만에서 새로운 수익성 높은 거래를 찾고 있다[40]. 가금류 가격은 사료비와 운임 상승으로 오를 가능성이 있다[38].</w:t>
      </w:r>
    </w:p>
    <w:p>
      <w:r>
        <w:rPr>
          <w:b/>
        </w:rPr>
        <w:t>🇰🇷 국내 영향</w:t>
      </w:r>
    </w:p>
    <w:p>
      <w:r>
        <w:t>BDI(발틱운임지수)는 2,603포인트를 기록했으며, 케이프사이즈 선박의 철광석 항로 운임이 회복세를 보이고 있다[41]. 일본의 서비스물가는 3.7% 상승했으며, 해상 운송비가 상승 폭을 키운 것으로 나타났다[42].</w:t>
      </w:r>
    </w:p>
    <w:p>
      <w:pPr>
        <w:pStyle w:val="Heading3"/>
      </w:pPr>
      <w:r>
        <w:t>항만·화물  (HIGH 1 / MEDIUM 12)</w:t>
      </w:r>
    </w:p>
    <w:p>
      <w:r>
        <w:rPr>
          <w:b/>
        </w:rPr>
        <w:t>🌐 해외 상황</w:t>
      </w:r>
    </w:p>
    <w:p>
      <w:r>
        <w:t>한국이 2026년 러시아산 석탄 수입을 늘렸다는 보도가 나왔다[44]. 곡물 엘리베이터 화재로 선박 선적이 일시 중단됐다[45]. 카라치항에는 5만 1,000메트릭톤의 밀을 실은 벌크선이 입항했으며[46], 수입 밀 도착 이후 밀·밀가루 가격이 하락할 것으로 예상됐다[43]. 현지 밀 납품량은 17% 증가해 500만 톤에 달했다[47]. 주요 RIC 터미널 프로젝트 계약이 승인됐다[48]. 곡물 생산자를 위한 포스핀 지연 조치가 확보됐다[49].</w:t>
      </w:r>
    </w:p>
    <w:p>
      <w:r>
        <w:rPr>
          <w:b/>
        </w:rPr>
        <w:t>🇰🇷 국내 영향</w:t>
      </w:r>
    </w:p>
    <w:p>
      <w:r>
        <w:t>부산 영도 부두에서 바지선이 침몰해 기름이 유출됐으며 해경이 긴급 방제 작업을 실시했다[50][55]. 부산항만공사는 규모 7.8 강진을 가정해 16개 기관 250명이 참여하는 재난 대응 훈련을 실시했다[51]. 인천항만공사는 선사·포워더 50여 명이 참여하는 해운물류 네트워킹 데이를 개최했다[52]. 카타르에너지는 벤처글로벌로부터 연 300만 톤 규모의 LNG 공급 협상을 진행 중이다[53]. 말레이시아에서는 AI 칩 서버 30대가 압수됐으며 화물 가치는 1,210만 달러에 달한다[54].</w:t>
      </w:r>
    </w:p>
    <w:p>
      <w:pPr>
        <w:pStyle w:val="Heading3"/>
      </w:pPr>
      <w:r>
        <w:t>경제·금융  (HIGH 11 / MEDIUM 76)</w:t>
      </w:r>
    </w:p>
    <w:p>
      <w:r>
        <w:rPr>
          <w:b/>
        </w:rPr>
        <w:t>🌐 해외 상황</w:t>
      </w:r>
    </w:p>
    <w:p>
      <w:r>
        <w:t>후티의 사우디 정유시설 공격 보도 이후 국제유가가 급등해 브렌트유는 배럴당 115달러를 돌파했다[2][64]. WTI도 사우디 정유시설 공격 이후 2달러 이상 상승했으며[95], 이란 관련 우려로 103.53달러까지 세션 고점을 기록하기도 했다[66]. 유럽 천연가스 가격은 €100를 돌파했다[59]. 인도 센섹스 지수는 릴라이언스·IT주 하락과 유가 상승의 영향으로 353포인트 하락했다[57][63]. 코스피는 수요일 6.63% 상승했다[61].</w:t>
      </w:r>
    </w:p>
    <w:p>
      <w:r>
        <w:rPr>
          <w:b/>
        </w:rPr>
        <w:t>🇰🇷 국내 영향</w:t>
      </w:r>
    </w:p>
    <w:p>
      <w:r>
        <w:t>코스피는 10거래일 만에 6,000선을 회복했다[68]. 금 현물은 3,995.81달러로 마감했으며, 브렌트유는 2022년 6월 이후 최고 수준을 기록했다[70]. WTI는 1.91% 상승했다[71]. 원·달러 환율은 달러 매수세에 14원 급등해 1,337.7원으로 마감했다[76]. 캐나다는 3년 만에 기준금리를 인상했으며 유가발 인플레이션으로 추가 인상을 시사했다[67]. 세계은행은 올해 원자재 가격이 23% 상승할 것으로 전망했다[74]. AI 거품 해소와 중동 위기가 겹치면서 미국 증시 하락 위험 경고가 나왔다[69]. 베네수엘라 원유 100만 배럴이 미국에 도착했다[72]. 러시아 원유의 87%는 중국·인도로 향하고 있으며 EU 비중은 5%에 그쳤다[75]. 달러 강세 속 FOMC에 대한 경계감이 이어지고 있다[73].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🌐 해외 상황</w:t>
      </w:r>
    </w:p>
    <w:p>
      <w:r>
        <w:t>중국 칭다오에서 제29회 중국 수산물·해산물 엑스포가 개막했다[78]. 인도산 수리미 가격이 신고가를 기록했으며, 중국의 새우 반품 건수는 9월에 급감한 것으로 나타났다[77].</w:t>
      </w:r>
    </w:p>
    <w:p>
      <w:r>
        <w:rPr>
          <w:b/>
        </w:rPr>
        <w:t>🇰🇷 국내 영향</w:t>
      </w:r>
    </w:p>
    <w:p>
      <w:r>
        <w:t>오뎅 성수기를 앞두고 명태 원료 수급이 어려워지면서 일본 어묵 업계가 원료 대란을 겪고 있다[79]. 한국인 선원과 외국인 선원 간 임금 형평성 문제를 다룬 K-어업 브로커 관련 보도가 나왔다[80].</w:t>
      </w:r>
    </w:p>
    <w:p>
      <w:pPr>
        <w:pStyle w:val="Heading3"/>
      </w:pPr>
      <w:r>
        <w:t>해운  (HIGH 1 / MEDIUM 11)</w:t>
      </w:r>
    </w:p>
    <w:p>
      <w:r>
        <w:rPr>
          <w:b/>
        </w:rPr>
        <w:t>🌐 해외 상황</w:t>
      </w:r>
    </w:p>
    <w:p>
      <w:r>
        <w:t>호르무즈 해협에서 VLCC(초대형 유조선) 통항 횟수가 증가했으며, 바브엘만데브 해협은 이틀 연속 안정세를 유지했다[82]. MOL은 WAPS 장착 LNG 이중연료 석탄 운반선을 인도했다[81]. WinGD는 LNG 운반선 서비스 계약을 확보했다[83].</w:t>
      </w:r>
    </w:p>
    <w:p>
      <w:r>
        <w:rPr>
          <w:b/>
        </w:rPr>
        <w:t>🇰🇷 국내 영향</w:t>
      </w:r>
    </w:p>
    <w:p>
      <w:r>
        <w:t>싱가포르 해사항만청(MPA)이 울산항만공사를 방문해 친환경 선박연료 공급 실증 경험을 공유하고 협력을 모색했다[84][86][87]. 항만·해운·수산 분야에 AI를 도입해 생산성을 향상시키는 방안이 논의됐다[85]. 북극항로 상업운항을 위한 전용 터미널 구축과 화주 인센티브 등 지원 방안이 요구됐으며[88][89], 경남도는 스마트항만·북극항로 대비 전문인력 양성 방안을 논의했다[90]. 롯데와 HD현대가 세계 최대 암모니아 운반선을 진수했다[91].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LS마린솔루션과 SK브로드밴드가 국제 해저통신망 SJC2 긴급복구에 협력했다[92].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🌐 해외 상황</w:t>
      </w:r>
    </w:p>
    <w:p>
      <w:r>
        <w:t>사우디아라비아 홍해 항만들이 계절적 수입 급증에 대비하고 있다[93].</w:t>
      </w:r>
    </w:p>
    <w:p>
      <w:pPr>
        <w:pStyle w:val="Heading3"/>
      </w:pPr>
      <w:r>
        <w:t>기타 산업  (HIGH 6 / MEDIUM 29)</w:t>
      </w:r>
    </w:p>
    <w:p>
      <w:r>
        <w:rPr>
          <w:b/>
        </w:rPr>
        <w:t>🌐 해외 상황</w:t>
      </w:r>
    </w:p>
    <w:p>
      <w:r>
        <w:t>UAE 해역에서 손상된 유조선이 기름을 유출했다[94]. 노르트스트림 파이프라인은 전쟁 종료 후에도 재개통되지 않을 것이라고 브뤼셀이 미국과 러시아에 통보했다[101]. 이라크와 시리아는 하루 200만 배럴 용량의 바니야스 파이프라인을 통한 석유 수출을 논의했다[102]. 글로벌 곡물 공급 증가로 밀·보리 시장이 압박을 받고 있다[100]. 러시아는 곡물 수출 허가를 발급했다[99].</w:t>
      </w:r>
    </w:p>
    <w:p>
      <w:r>
        <w:rPr>
          <w:b/>
        </w:rPr>
        <w:t>🇰🇷 국내 영향</w:t>
      </w:r>
    </w:p>
    <w:p>
      <w:r>
        <w:t>이란 당국자가 카타르 중재안을 수용 불가하다고 밝히면서 유가가 115달러를 기록했다[104]. 사우디아라비아는 싱가포르 지하에 원유를 저장하는 시설을 구축 중이며 2027년 하반기 운영을 예상하고 있다[105]. 석유화학 업계가 흔들리는 가운데 HD현대가 6,000억 원을 투입해 정상화를 추진하고 있다[107]. 요소수·주사기 등에 대한 매점매석 금지 조치가 종료됐으며 수급이 안정세에 접어든 것으로 평가됐다[108]. 트럼프 대통령은 국방물자생산법(DPA)을 활용해 석유 생산·정제 역량 확대를 지시했다[109]. 국내 정유 3사는 설비 개선에 약 2조 원대 투자를 계획하고 있으며 산기평이 보조금 지원을 준비 중이다[110].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71</w:t>
            </w:r>
          </w:p>
        </w:tc>
        <w:tc>
          <w:tcPr>
            <w:tcW w:type="dxa" w:w="2946"/>
          </w:tcPr>
          <w:p>
            <w:r>
              <w:t>2.9%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196</w:t>
            </w:r>
          </w:p>
        </w:tc>
        <w:tc>
          <w:tcPr>
            <w:tcW w:type="dxa" w:w="2946"/>
          </w:tcPr>
          <w:p>
            <w:r>
              <w:t>8.0%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443</w:t>
            </w:r>
          </w:p>
        </w:tc>
        <w:tc>
          <w:tcPr>
            <w:tcW w:type="dxa" w:w="2946"/>
          </w:tcPr>
          <w:p>
            <w:r>
              <w:t>18.0%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1752</w:t>
            </w:r>
          </w:p>
        </w:tc>
        <w:tc>
          <w:tcPr>
            <w:tcW w:type="dxa" w:w="2946"/>
          </w:tcPr>
          <w:p>
            <w:r>
              <w:t>71.2%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