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2026-09-10</w:t>
      </w:r>
    </w:p>
    <w:p>
      <w:pPr>
        <w:jc w:val="center"/>
      </w:pPr>
      <w:r>
        <w:rPr>
          <w:color w:val="808080"/>
          <w:sz w:val="18"/>
        </w:rPr>
        <w:t>생성 모델: claude-sonnet-4-6  |  HIGH+MEDIUM 427건 (해외 197건 / 국내 230건)</w:t>
      </w:r>
    </w:p>
    <w:p/>
    <w:p>
      <w:pPr>
        <w:pStyle w:val="Heading2"/>
      </w:pPr>
      <w:r>
        <w:t>오늘의 핵심</w:t>
      </w:r>
    </w:p>
    <w:p>
      <w:r>
        <w:t>후티 반군이 예멘 홍해 항구도시 모카를 장악하며 바브엘만데브 해협 통제권 확보가 임박한 것으로 보이고[13][15][16][19], 이란은 호르무즈 해협에서 미국 무인 감시선을 공격했다고 주장하며 통제구역 확대를 선언했다[2][3][17]. 국제 유가는 브렌트유 기준 100~106달러 구간에서 급등세를 이어가고 있으며[63][64][76][79], 유조선 운임은 사상 최고 수준으로 치솟았다[39][50]. 호르무즈 해협 통과 선박 수가 한 자릿수로 급감한 것으로 나타났고[40][41][42], 한국 총리는 11월 원유 선제 확보를 지시했다[55][56]. 중국 칭다오 조선소에서 화물선 화재가 발생해 25명이 사망하고 5명이 부상하는 대형 인명 사고가 발생했다[21][30][33].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77 / MEDIUM 106)</w:t>
      </w:r>
    </w:p>
    <w:p>
      <w:r>
        <w:rPr>
          <w:b/>
        </w:rPr>
        <w:t>🌐 해외 상황</w:t>
      </w:r>
    </w:p>
    <w:p>
      <w:r>
        <w:t>후티 반군이 예멘 홍해 항구도시 모카를 점령하며 바브엘만데브 해협 장악이 임박한 것으로 보인다[8][9][10]. 이란은 호르무즈 해협에서 미국 무인 감시선을 공격했다고 주장했으며[2][3], 이란 혁명수비대(IRGC)도 미국 해상 드론을 타격했다고 밝혔다[3]. 예멘 군 당국은 후티의 바브엘만데브 해협 장악이 국제 무역을 위협할 것이라고 경고했고[5], 이란은 호르무즈 해협에서 선박 피격이 잇따르는 가운데 통제구역 확대를 선언했다[17]. 이란 연계 세력의 예멘 항구 장악으로 글로벌 무역 항로에 대한 복합적 위협이 고조되고 있다[1][4][7].</w:t>
      </w:r>
    </w:p>
    <w:p>
      <w:r>
        <w:rPr>
          <w:b/>
        </w:rPr>
        <w:t>🇰🇷 국내 영향</w:t>
      </w:r>
    </w:p>
    <w:p>
      <w:r>
        <w:t>한국 내 여론조사에서 응답자의 45%가 호르무즈 파병에 반대하는 것으로 나타났고[11], 정부 군사 시찰단은 바레인을 다음 방문지로 결정하며 호르무즈 기여 방안을 검토 중이다[12]. 국회 대정부질문 이틀째에는 호르무즈 파병을 둘러싸고 '신중해야 한다'는 의견과 '언제 할 것이냐'는 의견이 맞섰다[18]. 이란군이 유조선 5척 피격에 이어 10척 공격을 주장하는 등 공격이 확대되고 있어[14], 한국의 중동 에너지 수입 항로에 대한 위협이 심화되고 있다. 후티의 모카 장악으로 호르무즈에 이어 바브엘만데브까지 봉쇄될 가능성이 제기되고 있다[16][20].</w:t>
      </w:r>
    </w:p>
    <w:p>
      <w:pPr>
        <w:pStyle w:val="Heading3"/>
      </w:pPr>
      <w:r>
        <w:t>해양안전  (HIGH 0 / MEDIUM 26)</w:t>
      </w:r>
    </w:p>
    <w:p>
      <w:r>
        <w:rPr>
          <w:b/>
        </w:rPr>
        <w:t>🌐 해외 상황</w:t>
      </w:r>
    </w:p>
    <w:p>
      <w:r>
        <w:t>중국 칭다오 조선소에서 화물선 화재가 발생해 최소 25명이 사망하고 5명이 부상했다[21][22][23][24][25]. 일부 보도에서는 초기 사망자 수를 20명으로 집계했으나 이후 25명으로 상향 조정됐다[26][27][28]. 화재는 수리 중이던 화물선에서 시작된 것으로 보인다[38].</w:t>
      </w:r>
    </w:p>
    <w:p>
      <w:r>
        <w:rPr>
          <w:b/>
        </w:rPr>
        <w:t>🇰🇷 국내 영향</w:t>
      </w:r>
    </w:p>
    <w:p>
      <w:r>
        <w:t>중국 칭다오 조선소 화물선 화재로 25명이 사망하고 5명이 부상한 사고가 국내 언론에 집중 보도됐다[30][31][32][33]. 한국 해양수산부는 항만 안전 중장기 계획 수립을 위한 개정법 시행에 나섰다[29].</w:t>
      </w:r>
    </w:p>
    <w:p>
      <w:pPr>
        <w:pStyle w:val="Heading3"/>
      </w:pPr>
      <w:r>
        <w:t>운임·물류비  (HIGH 8 / MEDIUM 6)</w:t>
      </w:r>
    </w:p>
    <w:p>
      <w:r>
        <w:rPr>
          <w:b/>
        </w:rPr>
        <w:t>🌐 해외 상황</w:t>
      </w:r>
    </w:p>
    <w:p>
      <w:r>
        <w:t>중동 전쟁 격화로 국제 유조선 운임이 사상 최고 수준으로 급등했다[39]. 호르무즈 해협 통과 선박 수가 한 자릿수로 급감한 것으로 데이터가 나타났다[40][41][42]. 이란은 에너지 제품 운반 외국 선박에 부과하던 10% 운송료를 일시 중단했다[43]. 카자흐스탄은 CPC 파이프라인 추가 차질 이후 원유 수출 대안 경로를 모색 중이다[44].</w:t>
      </w:r>
    </w:p>
    <w:p>
      <w:r>
        <w:rPr>
          <w:b/>
        </w:rPr>
        <w:t>🇰🇷 국내 영향</w:t>
      </w:r>
    </w:p>
    <w:p>
      <w:r>
        <w:t>이란이 외국 에너지 선박에 대한 운임 10% 할증 부과를 일시 면제했다[47][48][49][51]. 중동 해운 리스크 고조로 국제 유조선 운임이 사상 최고 수준을 기록했다[50]. 미주 노선 강세에 힘입어 부산항 운임이 6주 연속 상승했으며, 케이프사이즈 선박 운임은 20% 급등했다[52].</w:t>
      </w:r>
    </w:p>
    <w:p>
      <w:pPr>
        <w:pStyle w:val="Heading3"/>
      </w:pPr>
      <w:r>
        <w:t>항만·화물  (HIGH 2 / MEDIUM 5)</w:t>
      </w:r>
    </w:p>
    <w:p>
      <w:r>
        <w:rPr>
          <w:b/>
        </w:rPr>
        <w:t>🇰🇷 국내 영향</w:t>
      </w:r>
    </w:p>
    <w:p>
      <w:r>
        <w:t>한국 총리는 중동 긴장 재고조에 대응해 11월 원유 선제 확보를 지시했다[55][56]. 울산항의 선박 벙커링 공급량이 8월 기준 전년 대비 13% 감소한 반면, LNG 공급은 증가한 것으로 나타났다[58][59]. 여수광양항만공사는 K-배터리쇼에서 세풍 배후단지를 홍보했다[57].</w:t>
      </w:r>
    </w:p>
    <w:p>
      <w:pPr>
        <w:pStyle w:val="Heading3"/>
      </w:pPr>
      <w:r>
        <w:t>경제·금융  (HIGH 27 / MEDIUM 115)</w:t>
      </w:r>
    </w:p>
    <w:p>
      <w:r>
        <w:rPr>
          <w:b/>
        </w:rPr>
        <w:t>🌐 해외 상황</w:t>
      </w:r>
    </w:p>
    <w:p>
      <w:r>
        <w:t>브렌트유가 배럴당 100~106달러 구간에서 급등세를 이어가고 있으며[63][64][66][67], WTI도 배럴당 100달러를 돌파했다[65]. 유가 급등과 함께 채권 수익률도 동반 상승했다[63]. HSBC는 호르무즈 위기 장기화를 반영해 2026년 브렌트유 전망치를 배럴당 90달러로 상향 조정했다[62]. 미국 중부 플로리다 지역에서는 이란 전쟁에 따른 글로벌 원유 공급 차질로 휘발유 가격이 상승했다[61].</w:t>
      </w:r>
    </w:p>
    <w:p>
      <w:r>
        <w:rPr>
          <w:b/>
        </w:rPr>
        <w:t>🇰🇷 국내 영향</w:t>
      </w:r>
    </w:p>
    <w:p>
      <w:r>
        <w:t>이란 전쟁 격화로 유가가 6% 급등하며 브렌트유와 WTI 모두 배럴당 100달러를 돌파했다[70][74][75][76]. 서울 증시는 중동 긴장 고조와 유가 상승 영향으로 하락 출발했으며[71], 인플레이션 우려로 하락 마감했다[72]. 사우디아라비아의 원유 생산량이 올해 들어 가장 낮은 수준으로 떨어진 것으로 보도됐다[73]. 브렌트유가 102달러를 돌파한 가운데 이란은 고강도전 준비를 선언했다[79].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해수 온도 상승이 일상화되면서 양식 지도를 바꿔야 한다는 지적이 나왔다[80]. 고수온이 지나간 뒤 적조가 발생하는 등 달라진 바다 환경으로 양식업계에 비상이 걸렸다[81].</w:t>
      </w:r>
    </w:p>
    <w:p>
      <w:pPr>
        <w:pStyle w:val="Heading3"/>
      </w:pPr>
      <w:r>
        <w:t>해운  (HIGH 2 / MEDIUM 9)</w:t>
      </w:r>
    </w:p>
    <w:p>
      <w:r>
        <w:rPr>
          <w:b/>
        </w:rPr>
        <w:t>🌐 해외 상황</w:t>
      </w:r>
    </w:p>
    <w:p>
      <w:r>
        <w:t>카타르산 LNG 화물이 호르무즈 해협 긴장 속에서도 파키스탄 카라치에 도착했다[82][83]. 중국 화물선이 북극항로를 통해 영국까지 첫 정기 항해를 완료했으며[87][89], 이른바 '극지 실크로드' 시대가 열리고 있다는 평가가 나온다. 후티는 홍해와 바브엘만데브 항행이 안전하고 정상 운영 중이라고 주장했다[85]. 컨테이너선 두바이 타워는 영국 펠릭스토우 항로에서 우회 항행했다[86].</w:t>
      </w:r>
    </w:p>
    <w:p>
      <w:r>
        <w:rPr>
          <w:b/>
        </w:rPr>
        <w:t>🇰🇷 국내 영향</w:t>
      </w:r>
    </w:p>
    <w:p>
      <w:r>
        <w:t>북극항로 시대 개막에 따라 경남 조선·항만·산업계의 기회가 부각되고 있다[91]. 케이조선이 재매각을 추진하며 새 주인을 찾고 있다[92]. 제주-칭다오 노선에서 빈 배만 오가는 상황에 대한 책임 소재 논란이 제기됐다[90].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블랙스톤과 ESR이 한국 물류 개발 사업에 전략적 투자를 발표했다[93].</w:t>
      </w:r>
    </w:p>
    <w:p>
      <w:r>
        <w:rPr>
          <w:b/>
        </w:rPr>
        <w:t>🇰🇷 국내 영향</w:t>
      </w:r>
    </w:p>
    <w:p>
      <w:r>
        <w:t>해양진흥공사(해진공)는 유럽 진출 국내 기업을 대상으로 물류거점 확보 지원 설명회를 개최했다[94].</w:t>
      </w:r>
    </w:p>
    <w:p>
      <w:pPr>
        <w:pStyle w:val="Heading3"/>
      </w:pPr>
      <w:r>
        <w:t>항만혼잡  (HIGH 0 / MEDIUM 2)</w:t>
      </w:r>
    </w:p>
    <w:p>
      <w:r>
        <w:rPr>
          <w:b/>
        </w:rPr>
        <w:t>🌐 해외 상황</w:t>
      </w:r>
    </w:p>
    <w:p>
      <w:r>
        <w:t>가나에서 컨테이너 물동량이 거의 100% 급증하며 항만 혼잡이 심화되고 있다[95].</w:t>
      </w:r>
    </w:p>
    <w:p>
      <w:r>
        <w:rPr>
          <w:b/>
        </w:rPr>
        <w:t>🇰🇷 국내 영향</w:t>
      </w:r>
    </w:p>
    <w:p>
      <w:r>
        <w:t>태풍 영향으로 발생한 항만 적체로 컨테이너선 430만 TEU가 발이 묶이며 시황이 강세를 보이고 있다[96].</w:t>
      </w:r>
    </w:p>
    <w:p>
      <w:pPr>
        <w:pStyle w:val="Heading3"/>
      </w:pPr>
      <w:r>
        <w:t>기타 산업  (HIGH 3 / MEDIUM 35)</w:t>
      </w:r>
    </w:p>
    <w:p>
      <w:r>
        <w:rPr>
          <w:b/>
        </w:rPr>
        <w:t>🌐 해외 상황</w:t>
      </w:r>
    </w:p>
    <w:p>
      <w:r>
        <w:t>IEA는 호르무즈 봉쇄로 LNG 공급이 차질을 빚으면서 2026년 글로벌 석탄 수요가 전년 대비 1.2% 증가해 사상 최고치인 89억 4천만 톤에 달할 것으로 전망했다[97][99][103]. 사우디아라비아의 원유 생산량이 36년 만에 최저 수준으로 급감했다[98].</w:t>
      </w:r>
    </w:p>
    <w:p>
      <w:r>
        <w:rPr>
          <w:b/>
        </w:rPr>
        <w:t>🇰🇷 국내 영향</w:t>
      </w:r>
    </w:p>
    <w:p>
      <w:r>
        <w:t>경유 가격이 원유보다 더 큰 폭으로 상승하면서 글로벌 공급난 속에 국내 정유사의 수출 마진이 개선되고 있다[107]. 한국 정부는 미국 원전 8기 건설 및 천연가스 분야에 1000억 달러 이상을 투자하는 대미 투자 첫 사업 합의가 임박한 것으로 보도됐다[108][109][110][111][113][114][115]. 한국남부발전은 11개 발전·에너지사와 LNG 공동도입 협의체를 출범시켰다[116].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119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308</w:t>
            </w:r>
          </w:p>
        </w:tc>
        <w:tc>
          <w:tcPr>
            <w:tcW w:type="dxa" w:w="2946"/>
          </w:tcPr>
          <w:p>
            <w:r>
              <w:t>10.3%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463</w:t>
            </w:r>
          </w:p>
        </w:tc>
        <w:tc>
          <w:tcPr>
            <w:tcW w:type="dxa" w:w="2946"/>
          </w:tcPr>
          <w:p>
            <w:r>
              <w:t>15.5%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2088</w:t>
            </w:r>
          </w:p>
        </w:tc>
        <w:tc>
          <w:tcPr>
            <w:tcW w:type="dxa" w:w="2946"/>
          </w:tcPr>
          <w:p>
            <w:r>
              <w:t>70.1%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