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해상 공급망 모니터링 일일 분석 — 2026-04-12</w:t>
      </w:r>
    </w:p>
    <w:p>
      <w:pPr>
        <w:jc w:val="center"/>
      </w:pPr>
      <w:r>
        <w:rPr>
          <w:color w:val="808080"/>
          <w:sz w:val="18"/>
        </w:rPr>
        <w:t>생성 모델: claude-sonnet-4-6  |  HIGH+MEDIUM 785건 (해외 406건 / 국내 379건)</w:t>
      </w:r>
    </w:p>
    <w:p/>
    <w:p>
      <w:pPr>
        <w:pStyle w:val="Heading2"/>
      </w:pPr>
      <w:r>
        <w:t>오늘의 핵심</w:t>
      </w:r>
    </w:p>
    <w:p>
      <w:r>
        <w:t>트럼프 대통령이 이란과의 협상 결렬 후 미 해군의 호르무즈 해협 전면 봉쇄를 선언하고 기뢰 제거 작전에 돌입하면서 글로벌 원유 공급망에 초비상이 걸렸다. 국제 원유 현물가격은 144달러까지 급등한 반면 선물가격은 95달러에 머물러 약 30달러의 이중가격 쇼크가 발생했으며, 초대형 유조선 2척이 협상 결렬 직후 호르무즈 해협에서 긴급 회항하는 사태가 벌어졌다. 한국 정부는 5월 원유 물량의 80%를 확보했으며 비축유 방출 없이 5월을 넘길 수 있다고 밝혔고, 사우디아라비아는 호르무즈 우회 동서 횡단 송유관을 하루 700만 배럴 용량으로 정상화해 공급 불안 완화에 나섰다. 카타르는 페르시아만 선박 운항 재개를 선언했고 미 해군 구축함이 기뢰 제거를 위해 해협을 통과했으나, 한국 선박은 아직 통과하지 못한 것으로 보인다. IMF는 이란 전쟁발 글로벌 경제 충격을 경고했으며, 울산 제조업 경기전망은 22분기 만에 최악 수준으로 떨어졌다.</w:t>
      </w:r>
    </w:p>
    <w:p/>
    <w:p>
      <w:pPr>
        <w:pStyle w:val="Heading2"/>
      </w:pPr>
      <w:r>
        <w:t>카테고리별 분석</w:t>
      </w:r>
    </w:p>
    <w:p>
      <w:pPr>
        <w:pStyle w:val="Heading3"/>
      </w:pPr>
      <w:r>
        <w:t>안보·군사  (HIGH 296 / MEDIUM 258)</w:t>
      </w:r>
    </w:p>
    <w:p>
      <w:r>
        <w:rPr>
          <w:b/>
        </w:rPr>
        <w:t>🌐 해외 상황</w:t>
      </w:r>
    </w:p>
    <w:p>
      <w:r>
        <w:t>트럼프 대통령은 이란과의 평화 협상이 결렬된 후 미 해군의 호르무즈 해협 전면 봉쇄를 공식 선언하고, 이란 선박을 '지옥으로 날려버리겠다'고 위협했다. 이란 혁명수비대는 군사 선박들에 호르무즈 해협 접근을 피하라고 경고했으며, 이란 측은 미 구축함의 해협 통과 실패를 주장하며 교신 내용을 공개했다. 네덜란드를 포함한 NATO 동맹국들은 트럼프의 호르무즈 봉쇄 계획에 대한 대응을 검토 중이다. 홍해에서는 UKMTO가 예멘 인근 해역에서 선박 피습 사건을 보고하며 통항 주의를 당부했다.</w:t>
      </w:r>
    </w:p>
    <w:p>
      <w:r>
        <w:rPr>
          <w:b/>
        </w:rPr>
        <w:t>🇰🇷 국내 영향</w:t>
      </w:r>
    </w:p>
    <w:p>
      <w:r>
        <w:t>미국과 이란 간 협상이 이틀째 연장되다 결렬되면서 호르무즈 해협 긴장이 고조되고 있으며, 한국 언론은 트럼프의 '역봉쇄' 선언이 중국을 겨냥한 초강수라는 분석을 내놓고 있다. 미 해군의 호르무즈 장악 작전 및 기뢰 제거 작전 돌입 소식이 국내에 집중 보도되며 에너지 안보 우려가 확산되고 있다. 한국 선박의 호르무즈 통과 여부가 주요 관심사로 부상했으며, 휴전 후 처음으로 초대형 유조선이 통과했으나 한국 선박은 아직 통과하지 못한 것으로 보인다.</w:t>
      </w:r>
    </w:p>
    <w:p>
      <w:pPr>
        <w:pStyle w:val="Heading3"/>
      </w:pPr>
      <w:r>
        <w:t>해양안전  (HIGH 0 / MEDIUM 1)</w:t>
      </w:r>
    </w:p>
    <w:p>
      <w:r>
        <w:rPr>
          <w:b/>
        </w:rPr>
        <w:t>🌐 해외 상황</w:t>
      </w:r>
    </w:p>
    <w:p>
      <w:r>
        <w:t>스웨덴 해안경비대가 파나마 선적 선박을 오염 혐의로 나포했다.</w:t>
      </w:r>
    </w:p>
    <w:p>
      <w:pPr>
        <w:pStyle w:val="Heading3"/>
      </w:pPr>
      <w:r>
        <w:t>운임·물류비  (HIGH 3 / MEDIUM 4)</w:t>
      </w:r>
    </w:p>
    <w:p>
      <w:r>
        <w:rPr>
          <w:b/>
        </w:rPr>
        <w:t>🌐 해외 상황</w:t>
      </w:r>
    </w:p>
    <w:p>
      <w:r>
        <w:t>미국-이란 협상 결렬 직후 초대형 유조선 2척이 호르무즈 해협에서 긴급 U턴 회항했으며, 복수의 유조선이 걸프만 출구에서 방향을 돌린 것이 확인됐다. 글로벌 특송 업체들은 중동 분쟁을 이유로 연료 할증료를 인상했다. 이란은 호르무즈 통행료를 암호화폐로 징수하는 방안을 시행 중인 것으로 보이며, 이란이 11조 원 규모의 암호화폐 보유 주체가 됐다는 보도가 나왔다.</w:t>
      </w:r>
    </w:p>
    <w:p>
      <w:r>
        <w:rPr>
          <w:b/>
        </w:rPr>
        <w:t>🇰🇷 국내 영향</w:t>
      </w:r>
    </w:p>
    <w:p>
      <w:r>
        <w:t>운임 급등과 관세 부담이 겹치면서 한국 가전 업계의 미국 수출 수익성이 악화되고 있다는 보도가 나왔다. 호르무즈 통행료 부과 충격이 국내 유류비와 장바구니 물가에 비상을 초래하고 있다는 분석이 제기됐다.</w:t>
      </w:r>
    </w:p>
    <w:p>
      <w:pPr>
        <w:pStyle w:val="Heading3"/>
      </w:pPr>
      <w:r>
        <w:t>항만·화물  (HIGH 3 / MEDIUM 7)</w:t>
      </w:r>
    </w:p>
    <w:p>
      <w:r>
        <w:rPr>
          <w:b/>
        </w:rPr>
        <w:t>🇰🇷 국내 영향</w:t>
      </w:r>
    </w:p>
    <w:p>
      <w:r>
        <w:t>한국 정부는 5월 원유 물량의 80%를 확보했으며 비축유를 방출하지 않고도 5월을 넘길 수 있다고 산업부 장관이 밝혔다. 사우디아라비아가 호르무즈 우회 동서 횡단 송유관을 정상화하면서 원유 공급 불안이 일부 완화될 가능성이 있다. 완도에서 수산물 냉동창고 화재가 발생해 소방관 2명이 순직했으며, 에폭시 근처 토치 작업이 원인으로 지목되는 인재 가능성이 제기됐다. 부산항 신항 배후단지 공사비 예측 불가 문제로 입주 기업들이 어려움을 겪고 있으며, 인천공항 화물 공급망 병목 문제도 보도됐다.</w:t>
      </w:r>
    </w:p>
    <w:p>
      <w:pPr>
        <w:pStyle w:val="Heading3"/>
      </w:pPr>
      <w:r>
        <w:t>경제·금융  (HIGH 9 / MEDIUM 105)</w:t>
      </w:r>
    </w:p>
    <w:p>
      <w:r>
        <w:rPr>
          <w:b/>
        </w:rPr>
        <w:t>🌐 해외 상황</w:t>
      </w:r>
    </w:p>
    <w:p>
      <w:r>
        <w:t>IMF는 이란 전쟁발 글로벌 경제 충격을 공식 경고했으며, 트럼프 대통령은 가스 가격이 11월 중간선거 전까지 내려오지 않을 수 있다고 인정했다. 글로벌 원유 시장에서는 배럴 확보를 위한 패닉 매수가 벌어지고 있으며, 인도 증시는 미국-이란 협상 결렬로 갭다운 출발을 예고했다. 캐나다는 전쟁발 유가 충격이 수개월간 지속될 것이라는 전망이 나왔고, 필리핀에서는 미국-이란 휴전 여부에 따라 유류세 환급 정책이 연동되는 상황이다.</w:t>
      </w:r>
    </w:p>
    <w:p>
      <w:r>
        <w:rPr>
          <w:b/>
        </w:rPr>
        <w:t>🇰🇷 국내 영향</w:t>
      </w:r>
    </w:p>
    <w:p>
      <w:r>
        <w:t>국제 원유 현물가격이 144달러까지 급등한 반면 선물가격은 95달러에 머물러 약 30달러의 이중가격 쇼크가 발생했다. 트럼프의 호르무즈 봉쇄 선언 이후 비트코인이 7만1천 달러 아래로 하락하며 하방 압력을 받고 있다. 울산 제조업 경기전망이 22분기 만에 최악 수준으로 떨어졌으며, 전쟁 타격이 가장 컸던 국내 증시의 6천 포인트 탈환 가능성에 대한 불확실성이 커지고 있다. 한국해운조합은 중동발 유가 폭등에 대응해 118억 원 규모의 긴급 지원을 결정했다.</w:t>
      </w:r>
    </w:p>
    <w:p>
      <w:pPr>
        <w:pStyle w:val="Heading3"/>
      </w:pPr>
      <w:r>
        <w:t>수산물  (HIGH 0 / MEDIUM 2)</w:t>
      </w:r>
    </w:p>
    <w:p>
      <w:r>
        <w:rPr>
          <w:b/>
        </w:rPr>
        <w:t>🇰🇷 국내 영향</w:t>
      </w:r>
    </w:p>
    <w:p>
      <w:r>
        <w:t>전라남도는 중동 불안에 따른 어업인 경영 부담 완화를 위해 213억 원의 어업 예산을 조기 집행하기로 했다.</w:t>
      </w:r>
    </w:p>
    <w:p>
      <w:pPr>
        <w:pStyle w:val="Heading3"/>
      </w:pPr>
      <w:r>
        <w:t>해운  (HIGH 27 / MEDIUM 6)</w:t>
      </w:r>
    </w:p>
    <w:p>
      <w:r>
        <w:rPr>
          <w:b/>
        </w:rPr>
        <w:t>🌐 해외 상황</w:t>
      </w:r>
    </w:p>
    <w:p>
      <w:r>
        <w:t>미 해군 구축함들이 기뢰로 가득 찬 호르무즈 해협의 항로 개척을 위한 기뢰 제거 임무를 시작했으며, 미 군함 2척이 해협을 통과해 기뢰 제거 여건을 조성 중이다. 카타르는 페르시아만 선박 운항의 전면 재개를 선언하며 주간 항해를 허용했다. 협상 결렬 직후 일부 유조선이 회항했으나, 이후 초대형 유조선 3척이 호르무즈 해협을 통과한 것이 확인됐다. 파키스탄 카라치항에는 호르무즈 재개 이후 첫 컨테이너 선박이 입항했으며, 필리핀 컨테이너 선박 100척 이상이 호르무즈 해협에 묶여 있다는 보도도 나왔다.</w:t>
      </w:r>
    </w:p>
    <w:p>
      <w:r>
        <w:rPr>
          <w:b/>
        </w:rPr>
        <w:t>🇰🇷 국내 영향</w:t>
      </w:r>
    </w:p>
    <w:p>
      <w:r>
        <w:t>휴전 후 처음으로 초대형 유조선이 호르무즈 해협을 통과했으나 한국 선박은 아직 통과하지 못한 것으로 보인다. 협상 결렬 이후 일부 선박이 회항하는 등 호르무즈 해협 상황이 안갯속에 빠져 있어 한국 원유 수송 선박의 운항 재개 시점이 불투명한 상황이다. 미 해군의 기뢰 제거 작전 진행 상황이 한국 선박의 통과 가능 여부를 결정할 핵심 변수로 보인다.</w:t>
      </w:r>
    </w:p>
    <w:p>
      <w:pPr>
        <w:pStyle w:val="Heading3"/>
      </w:pPr>
      <w:r>
        <w:t>항만혼잡  (HIGH 1 / MEDIUM 0)</w:t>
      </w:r>
    </w:p>
    <w:p>
      <w:r>
        <w:rPr>
          <w:b/>
        </w:rPr>
        <w:t>🌐 해외 상황</w:t>
      </w:r>
    </w:p>
    <w:p>
      <w:r>
        <w:t>필리핀 컨테이너 선박 100척 이상이 호르무즈 해협에 묶여 있다는 보도가 나왔다.</w:t>
      </w:r>
    </w:p>
    <w:p>
      <w:r>
        <w:rPr>
          <w:b/>
        </w:rPr>
        <w:t>🇰🇷 국내 영향</w:t>
      </w:r>
    </w:p>
    <w:p>
      <w:r>
        <w:t>호르무즈 해협 봉쇄로 인한 선박 체증이 한국 수출입 화물 운송에도 영향을 미칠 가능성이 있다.</w:t>
      </w:r>
    </w:p>
    <w:p>
      <w:pPr>
        <w:pStyle w:val="Heading3"/>
      </w:pPr>
      <w:r>
        <w:t>기타 산업  (HIGH 17 / MEDIUM 32)</w:t>
      </w:r>
    </w:p>
    <w:p>
      <w:r>
        <w:rPr>
          <w:b/>
        </w:rPr>
        <w:t>🌐 해외 상황</w:t>
      </w:r>
    </w:p>
    <w:p>
      <w:r>
        <w:t>사우디아라비아는 드론 공격으로 피해를 입었던 동서 횡단 송유관을 하루 700만 배럴 용량으로 완전 복구했으며, 주요 에너지 시설도 정상화됐다. EU는 중동 공급망 교란으로 러시아산 LNG 수입을 늘리고 있다는 보도가 나왔다.</w:t>
      </w:r>
    </w:p>
    <w:p>
      <w:r>
        <w:rPr>
          <w:b/>
        </w:rPr>
        <w:t>🇰🇷 국내 영향</w:t>
      </w:r>
    </w:p>
    <w:p>
      <w:r>
        <w:t>한국 정부는 종전 선언 전까지 비상체제를 유지하며 에너지·물가 관리에 총력을 기울이고 있으며, 나프타 공급 회복을 위한 전방위 대응에 나섰다. 원자재 가격 급등으로 중소 제조업체들이 줄줄이 가동을 멈추고 있다는 보도가 나왔다. 해수부는 에너지 수급 불안에 대응해 1,448억 원 규모의 추경을 편성했으며, 제약업계는 중동 사태로 인한 의약품 사재기 및 과잉주문을 제한하는 조치를 시행 중이다. 새울 3호기 원자력발전소가 첫 시동에 성공해 하반기 상업운전을 앞두고 있어 에너지 공급 다변화에 기여할 가능성이 있다.</w:t>
      </w:r>
    </w:p>
    <w:p>
      <w:r>
        <w:br w:type="page"/>
      </w:r>
    </w:p>
    <w:p>
      <w:pPr>
        <w:pStyle w:val="Heading2"/>
      </w:pPr>
      <w:r>
        <w:t>통계 요약</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구분</w:t>
            </w:r>
          </w:p>
        </w:tc>
        <w:tc>
          <w:tcPr>
            <w:tcW w:type="dxa" w:w="2946"/>
          </w:tcPr>
          <w:p>
            <w:r>
              <w:rPr>
                <w:b/>
              </w:rPr>
              <w:t>건수</w:t>
            </w:r>
          </w:p>
        </w:tc>
        <w:tc>
          <w:tcPr>
            <w:tcW w:type="dxa" w:w="2946"/>
          </w:tcPr>
          <w:p>
            <w:r>
              <w:rPr>
                <w:b/>
              </w:rPr>
              <w:t>비중</w:t>
            </w:r>
          </w:p>
        </w:tc>
      </w:tr>
      <w:tr>
        <w:tc>
          <w:tcPr>
            <w:tcW w:type="dxa" w:w="2946"/>
          </w:tcPr>
          <w:p>
            <w:r>
              <w:t>총 수집</w:t>
            </w:r>
          </w:p>
        </w:tc>
        <w:tc>
          <w:tcPr>
            <w:tcW w:type="dxa" w:w="2946"/>
          </w:tcPr>
          <w:p>
            <w:r>
              <w:t>2602</w:t>
            </w:r>
          </w:p>
        </w:tc>
        <w:tc>
          <w:tcPr>
            <w:tcW w:type="dxa" w:w="2946"/>
          </w:tcPr>
          <w:p>
            <w:r>
              <w:t>100.0%</w:t>
            </w:r>
          </w:p>
        </w:tc>
      </w:tr>
      <w:tr>
        <w:tc>
          <w:tcPr>
            <w:tcW w:type="dxa" w:w="2946"/>
          </w:tcPr>
          <w:p>
            <w:r>
              <w:t>HIGH</w:t>
            </w:r>
          </w:p>
        </w:tc>
        <w:tc>
          <w:tcPr>
            <w:tcW w:type="dxa" w:w="2946"/>
          </w:tcPr>
          <w:p>
            <w:r>
              <w:t>356</w:t>
            </w:r>
          </w:p>
        </w:tc>
        <w:tc>
          <w:tcPr>
            <w:tcW w:type="dxa" w:w="2946"/>
          </w:tcPr>
          <w:p>
            <w:r>
              <w:t>13.7%</w:t>
            </w:r>
          </w:p>
        </w:tc>
      </w:tr>
      <w:tr>
        <w:tc>
          <w:tcPr>
            <w:tcW w:type="dxa" w:w="2946"/>
          </w:tcPr>
          <w:p>
            <w:r>
              <w:t>MEDIUM</w:t>
            </w:r>
          </w:p>
        </w:tc>
        <w:tc>
          <w:tcPr>
            <w:tcW w:type="dxa" w:w="2946"/>
          </w:tcPr>
          <w:p>
            <w:r>
              <w:t>429</w:t>
            </w:r>
          </w:p>
        </w:tc>
        <w:tc>
          <w:tcPr>
            <w:tcW w:type="dxa" w:w="2946"/>
          </w:tcPr>
          <w:p>
            <w:r>
              <w:t>16.5%</w:t>
            </w:r>
          </w:p>
        </w:tc>
      </w:tr>
      <w:tr>
        <w:tc>
          <w:tcPr>
            <w:tcW w:type="dxa" w:w="2946"/>
          </w:tcPr>
          <w:p>
            <w:r>
              <w:t>LOW</w:t>
            </w:r>
          </w:p>
        </w:tc>
        <w:tc>
          <w:tcPr>
            <w:tcW w:type="dxa" w:w="2946"/>
          </w:tcPr>
          <w:p>
            <w:r>
              <w:t>380</w:t>
            </w:r>
          </w:p>
        </w:tc>
        <w:tc>
          <w:tcPr>
            <w:tcW w:type="dxa" w:w="2946"/>
          </w:tcPr>
          <w:p>
            <w:r>
              <w:t>14.6%</w:t>
            </w:r>
          </w:p>
        </w:tc>
      </w:tr>
      <w:tr>
        <w:tc>
          <w:tcPr>
            <w:tcW w:type="dxa" w:w="2946"/>
          </w:tcPr>
          <w:p>
            <w:r>
              <w:t>NONE</w:t>
            </w:r>
          </w:p>
        </w:tc>
        <w:tc>
          <w:tcPr>
            <w:tcW w:type="dxa" w:w="2946"/>
          </w:tcPr>
          <w:p>
            <w:r>
              <w:t>1437</w:t>
            </w:r>
          </w:p>
        </w:tc>
        <w:tc>
          <w:tcPr>
            <w:tcW w:type="dxa" w:w="2946"/>
          </w:tcPr>
          <w:p>
            <w:r>
              <w:t>55.2%</w:t>
            </w:r>
          </w:p>
        </w:tc>
      </w:tr>
    </w:tbl>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